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ind w:firstLine="560"/>
        <w:rPr>
          <w:color w:val="auto"/>
          <w:highlight w:val="none"/>
        </w:rPr>
      </w:pPr>
    </w:p>
    <w:p>
      <w:pPr>
        <w:spacing w:line="480" w:lineRule="auto"/>
        <w:ind w:firstLine="0" w:firstLineChars="0"/>
        <w:jc w:val="center"/>
        <w:rPr>
          <w:rFonts w:ascii="Times New Roman" w:eastAsia="黑体" w:hAnsi="Times New Roman" w:cs="Times New Roman"/>
          <w:b/>
          <w:color w:val="auto"/>
          <w:kern w:val="0"/>
          <w:sz w:val="50"/>
          <w:szCs w:val="50"/>
          <w:highlight w:val="none"/>
          <w:lang w:bidi="en-US"/>
        </w:rPr>
      </w:pPr>
    </w:p>
    <w:p>
      <w:pPr>
        <w:spacing w:line="480" w:lineRule="auto"/>
        <w:ind w:firstLine="0" w:firstLineChars="0"/>
        <w:jc w:val="center"/>
        <w:rPr>
          <w:rFonts w:ascii="Times New Roman" w:eastAsia="黑体" w:hAnsi="Times New Roman" w:cs="Times New Roman"/>
          <w:b/>
          <w:color w:val="auto"/>
          <w:kern w:val="0"/>
          <w:sz w:val="50"/>
          <w:szCs w:val="50"/>
          <w:highlight w:val="none"/>
          <w:lang w:bidi="en-US"/>
        </w:rPr>
      </w:pPr>
    </w:p>
    <w:p>
      <w:pPr>
        <w:pStyle w:val="_Style1"/>
        <w:rPr>
          <w:color w:val="auto"/>
          <w:highlight w:val="none"/>
        </w:rPr>
      </w:pPr>
    </w:p>
    <w:p>
      <w:pPr>
        <w:pStyle w:val="_Style1"/>
        <w:rPr>
          <w:color w:val="auto"/>
          <w:highlight w:val="none"/>
        </w:rPr>
      </w:pPr>
    </w:p>
    <w:p>
      <w:pPr>
        <w:pStyle w:val="闻政-正文段落文字"/>
        <w:ind w:firstLine="0" w:firstLineChars="0"/>
        <w:jc w:val="center"/>
        <w:rPr>
          <w:rFonts w:ascii="仿宋_GB2312" w:hAnsi="Arial"/>
          <w:b/>
          <w:color w:val="auto"/>
          <w:szCs w:val="44"/>
          <w:highlight w:val="none"/>
        </w:rPr>
      </w:pPr>
      <w:bookmarkStart w:id="0" w:name="_Toc10470"/>
      <w:bookmarkStart w:id="1" w:name="_Toc4267"/>
      <w:r>
        <w:rPr>
          <w:rFonts w:hint="eastAsia"/>
          <w:b/>
          <w:bCs/>
          <w:color w:val="auto"/>
          <w:sz w:val="44"/>
          <w:szCs w:val="44"/>
          <w:highlight w:val="none"/>
        </w:rPr>
        <w:t xml:space="preserve">部门单位项目支出绩效评价报告</w:t>
      </w:r>
      <w:bookmarkEnd w:id="0"/>
      <w:bookmarkEnd w:id="1"/>
    </w:p>
    <w:p>
      <w:pPr>
        <w:spacing w:line="480" w:lineRule="auto"/>
        <w:ind w:firstLine="0" w:firstLineChars="0"/>
        <w:jc w:val="center"/>
        <w:rPr>
          <w:rFonts w:ascii="Times New Roman" w:eastAsia="黑体" w:hAnsi="Times New Roman" w:cs="Times New Roman"/>
          <w:b/>
          <w:color w:val="auto"/>
          <w:kern w:val="0"/>
          <w:sz w:val="50"/>
          <w:szCs w:val="50"/>
          <w:highlight w:val="none"/>
          <w:lang w:bidi="en-US"/>
        </w:rPr>
      </w:pPr>
    </w:p>
    <w:p>
      <w:pPr>
        <w:spacing w:line="480" w:lineRule="auto"/>
        <w:ind w:firstLine="0" w:firstLineChars="0"/>
        <w:jc w:val="center"/>
        <w:rPr>
          <w:rFonts w:ascii="仿宋" w:eastAsia="仿宋" w:hAnsi="仿宋" w:cs="仿宋" w:hint="eastAsia"/>
          <w:b/>
          <w:color w:val="auto"/>
          <w:kern w:val="0"/>
          <w:szCs w:val="28"/>
          <w:highlight w:val="none"/>
          <w:lang w:bidi="en-US"/>
        </w:rPr>
      </w:pPr>
      <w:r>
        <w:rPr>
          <w:rFonts w:ascii="仿宋" w:eastAsia="仿宋" w:hAnsi="仿宋" w:cs="仿宋" w:hint="eastAsia"/>
          <w:b/>
          <w:color w:val="auto"/>
          <w:kern w:val="0"/>
          <w:szCs w:val="28"/>
          <w:highlight w:val="none"/>
          <w:lang w:bidi="en-US"/>
        </w:rPr>
        <w:t xml:space="preserve">（2024年度）</w:t>
      </w:r>
    </w:p>
    <w:p>
      <w:pPr>
        <w:spacing w:line="480" w:lineRule="auto"/>
        <w:ind w:firstLine="0" w:firstLineChars="0"/>
        <w:jc w:val="center"/>
        <w:rPr>
          <w:rFonts w:ascii="Times New Roman" w:eastAsia="黑体" w:hAnsi="Times New Roman" w:cs="Times New Roman"/>
          <w:b/>
          <w:color w:val="auto"/>
          <w:kern w:val="0"/>
          <w:sz w:val="50"/>
          <w:szCs w:val="50"/>
          <w:highlight w:val="none"/>
          <w:lang w:bidi="en-US"/>
        </w:rPr>
      </w:pPr>
    </w:p>
    <w:p>
      <w:pPr>
        <w:spacing w:line="480" w:lineRule="auto"/>
        <w:ind w:firstLine="0" w:firstLineChars="0"/>
        <w:jc w:val="center"/>
        <w:rPr>
          <w:rFonts w:ascii="Times New Roman" w:eastAsia="黑体" w:hAnsi="Times New Roman" w:cs="Times New Roman"/>
          <w:b/>
          <w:color w:val="auto"/>
          <w:kern w:val="0"/>
          <w:sz w:val="50"/>
          <w:szCs w:val="50"/>
          <w:highlight w:val="none"/>
          <w:lang w:bidi="en-US"/>
        </w:rPr>
      </w:pPr>
    </w:p>
    <w:p>
      <w:pPr>
        <w:pStyle w:val="_Style1"/>
        <w:rPr>
          <w:rFonts w:ascii="Times New Roman" w:eastAsia="黑体" w:hAnsi="Times New Roman"/>
          <w:b/>
          <w:color w:val="auto"/>
          <w:kern w:val="0"/>
          <w:sz w:val="50"/>
          <w:szCs w:val="50"/>
          <w:highlight w:val="none"/>
          <w:lang w:bidi="en-US"/>
        </w:rPr>
      </w:pPr>
    </w:p>
    <w:p>
      <w:pPr>
        <w:pStyle w:val="_Style1"/>
        <w:rPr>
          <w:rFonts w:ascii="Times New Roman" w:eastAsia="黑体" w:hAnsi="Times New Roman"/>
          <w:b/>
          <w:color w:val="auto"/>
          <w:kern w:val="0"/>
          <w:sz w:val="50"/>
          <w:szCs w:val="50"/>
          <w:highlight w:val="none"/>
          <w:lang w:bidi="en-US"/>
        </w:rPr>
      </w:pPr>
    </w:p>
    <w:p>
      <w:pPr>
        <w:pStyle w:val="_Style1"/>
        <w:rPr>
          <w:rFonts w:ascii="Times New Roman" w:eastAsia="黑体" w:hAnsi="Times New Roman"/>
          <w:b/>
          <w:color w:val="auto"/>
          <w:kern w:val="0"/>
          <w:sz w:val="50"/>
          <w:szCs w:val="50"/>
          <w:highlight w:val="none"/>
          <w:lang w:bidi="en-US"/>
        </w:rPr>
      </w:pPr>
    </w:p>
    <w:p>
      <w:pPr>
        <w:spacing w:after="0" w:line="240" w:lineRule="atLeast"/>
        <w:ind w:left="2533" w:hanging="1693" w:leftChars="300" w:hangingChars="529"/>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项目名称：</w:t>
      </w:r>
      <w:r>
        <w:rPr>
          <w:rFonts w:ascii="仿宋_GB2312" w:hAnsi="Times New Roman" w:cs="Times New Roman" w:hint="eastAsia"/>
          <w:color w:val="auto"/>
          <w:kern w:val="0"/>
          <w:sz w:val="32"/>
          <w:szCs w:val="32"/>
          <w:highlight w:val="none"/>
          <w:lang w:bidi="en-US"/>
        </w:rPr>
        <w:t xml:space="preserve">城乡义务教育补助经费项目（家庭经济困难学生生活补助）</w:t>
      </w:r>
    </w:p>
    <w:p>
      <w:pPr>
        <w:spacing w:after="0" w:line="240" w:lineRule="atLeas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项目单位：</w:t>
      </w:r>
      <w:r>
        <w:rPr>
          <w:rFonts w:ascii="仿宋_GB2312" w:hAnsi="Times New Roman" w:cs="Times New Roman" w:hint="eastAsia"/>
          <w:color w:val="auto"/>
          <w:kern w:val="0"/>
          <w:sz w:val="32"/>
          <w:szCs w:val="32"/>
          <w:highlight w:val="none"/>
          <w:lang w:bidi="en-US"/>
        </w:rPr>
        <w:t xml:space="preserve">岳普湖县教育局</w:t>
      </w:r>
    </w:p>
    <w:p>
      <w:pPr>
        <w:spacing w:after="0" w:line="240" w:lineRule="atLeas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主管部门：</w:t>
      </w:r>
      <w:r>
        <w:rPr>
          <w:rFonts w:ascii="仿宋_GB2312" w:hAnsi="Times New Roman" w:cs="Times New Roman" w:hint="eastAsia"/>
          <w:color w:val="auto"/>
          <w:kern w:val="0"/>
          <w:sz w:val="32"/>
          <w:szCs w:val="32"/>
          <w:highlight w:val="none"/>
          <w:lang w:bidi="en-US"/>
        </w:rPr>
        <w:t xml:space="preserve">岳普湖县教育局</w:t>
      </w:r>
    </w:p>
    <w:p>
      <w:pPr>
        <w:spacing w:after="0" w:line="240" w:lineRule="atLeas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项目负责人：</w:t>
      </w:r>
      <w:r>
        <w:rPr>
          <w:rFonts w:ascii="仿宋_GB2312" w:hAnsi="Times New Roman" w:cs="Times New Roman" w:hint="eastAsia"/>
          <w:color w:val="auto"/>
          <w:kern w:val="0"/>
          <w:sz w:val="32"/>
          <w:szCs w:val="32"/>
          <w:highlight w:val="none"/>
          <w:lang w:bidi="en-US"/>
        </w:rPr>
        <w:t xml:space="preserve">吾斯曼·库都斯</w:t>
      </w:r>
    </w:p>
    <w:p>
      <w:pPr>
        <w:spacing w:after="0" w:line="240" w:lineRule="atLeas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填报时间：</w:t>
      </w:r>
      <w:r>
        <w:rPr>
          <w:rFonts w:ascii="仿宋_GB2312" w:hAnsi="Times New Roman" w:cs="Times New Roman" w:hint="eastAsia"/>
          <w:color w:val="auto"/>
          <w:kern w:val="0"/>
          <w:sz w:val="32"/>
          <w:szCs w:val="32"/>
          <w:highlight w:val="none"/>
          <w:lang w:bidi="en-US"/>
        </w:rPr>
        <w:t xml:space="preserve">2025年2月21日</w:t>
      </w:r>
    </w:p>
    <w:p>
      <w:pPr>
        <w:pStyle w:val="闻政-正文一级标题"/>
        <w:keepNext w:val="0"/>
        <w:keepLines w:val="0"/>
        <w:spacing w:before="0" w:after="0" w:line="520" w:lineRule="exact"/>
        <w:ind w:firstLine="640" w:firstLineChars="200"/>
        <w:jc w:val="both"/>
        <w:rPr>
          <w:rFonts w:hint="eastAsia"/>
          <w:color w:val="auto"/>
          <w:highlight w:val="none"/>
        </w:rPr>
        <w:sectPr>
          <w:headerReference w:type="even" r:id="rId4"/>
          <w:headerReference w:type="default" r:id="rId5"/>
          <w:headerReference w:type="first" r:id="rId6"/>
          <w:footerReference w:type="even" r:id="rId7"/>
          <w:footerReference w:type="default" r:id="rId8"/>
          <w:footerReference w:type="first" r:id="rId9"/>
          <w:pgSz w:w="11906" w:h="16838" w:orient="portrait"/>
          <w:pgMar w:top="1440" w:right="1800" w:bottom="1440" w:left="1800" w:header="851" w:footer="992" w:gutter="0"/>
          <w:pgBorders/>
          <w:pgNumType w:fmt="numberInDash" w:start="1"/>
          <w:cols w:num="1" w:space="720">
            <w:col w:w="8306" w:space="720"/>
          </w:cols>
          <w:docGrid w:type="lines" w:linePitch="312" w:charSpace="0"/>
        </w:sectPr>
      </w:pPr>
      <w:r>
        <w:br w:type="page"/>
      </w:r>
      <w:bookmarkStart w:id="2" w:name="_Toc22132_WPSOffice_Level1"/>
      <w:bookmarkStart w:id="3" w:name="_Toc17858_WPSOffice_Level1"/>
      <w:bookmarkStart w:id="4" w:name="_Toc32254_WPSOffice_Level1"/>
      <w:bookmarkStart w:id="5" w:name="_Toc14304"/>
      <w:bookmarkStart w:id="6" w:name="_Toc127054583"/>
      <w:bookmarkStart w:id="7" w:name="_Toc11547"/>
      <w:bookmarkStart w:id="8" w:name="_Toc17118"/>
      <w:bookmarkStart w:id="9" w:name="_GoBack"/>
      <w:bookmarkEnd w:id="9"/>
    </w:p>
    <w:p>
      <w:pPr>
        <w:pStyle w:val="闻政-正文一级标题"/>
        <w:keepNext w:val="0"/>
        <w:keepLines w:val="0"/>
        <w:spacing w:line="520" w:lineRule="exact"/>
        <w:ind w:firstLine="640" w:firstLineChars="200"/>
        <w:jc w:val="both"/>
        <w:rPr>
          <w:rFonts w:hint="eastAsia"/>
          <w:color w:val="auto"/>
          <w:highlight w:val="none"/>
        </w:rPr>
      </w:pPr>
      <w:r>
        <w:rPr>
          <w:rFonts w:hint="eastAsia"/>
          <w:color w:val="auto"/>
          <w:highlight w:val="none"/>
        </w:rPr>
        <w:t xml:space="preserve">一、基本情况</w:t>
      </w:r>
      <w:bookmarkEnd w:id="2"/>
      <w:bookmarkEnd w:id="3"/>
      <w:bookmarkEnd w:id="4"/>
      <w:bookmarkEnd w:id="5"/>
      <w:bookmarkEnd w:id="6"/>
      <w:bookmarkEnd w:id="7"/>
      <w:bookmarkEnd w:id="8"/>
    </w:p>
    <w:p>
      <w:pPr>
        <w:pStyle w:val="闻政-正文二级标题"/>
        <w:keepNext w:val="0"/>
        <w:keepLines w:val="0"/>
        <w:spacing w:line="520" w:lineRule="exact"/>
        <w:ind w:left="560"/>
        <w:jc w:val="both"/>
        <w:rPr>
          <w:color w:val="auto"/>
          <w:highlight w:val="none"/>
        </w:rPr>
      </w:pPr>
      <w:bookmarkStart w:id="10" w:name="_Toc12560_WPSOffice_Level2"/>
      <w:bookmarkStart w:id="11" w:name="_Toc1545_WPSOffice_Level2"/>
      <w:bookmarkStart w:id="12" w:name="_Toc24286"/>
      <w:bookmarkStart w:id="13" w:name="_Toc32174_WPSOffice_Level2"/>
      <w:bookmarkStart w:id="14" w:name="_Toc17283"/>
      <w:bookmarkStart w:id="15" w:name="_Toc5769"/>
      <w:bookmarkStart w:id="16" w:name="_Toc6398"/>
      <w:bookmarkStart w:id="17" w:name="_Toc31410"/>
      <w:bookmarkStart w:id="18" w:name="_Toc127054584"/>
      <w:bookmarkStart w:id="19" w:name="_Toc17504"/>
      <w:r>
        <w:rPr>
          <w:rFonts w:hint="eastAsia"/>
          <w:color w:val="auto"/>
          <w:highlight w:val="none"/>
        </w:rPr>
        <w:t xml:space="preserve">（一）项目概况</w:t>
      </w:r>
      <w:bookmarkEnd w:id="10"/>
      <w:bookmarkEnd w:id="11"/>
      <w:bookmarkEnd w:id="12"/>
      <w:bookmarkEnd w:id="13"/>
      <w:bookmarkEnd w:id="14"/>
      <w:bookmarkEnd w:id="15"/>
      <w:bookmarkEnd w:id="16"/>
      <w:bookmarkEnd w:id="17"/>
      <w:bookmarkEnd w:id="18"/>
      <w:bookmarkEnd w:id="19"/>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1.项目背景</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国务院《关于进一步完善城乡义务教育经费保障机制的通知》（国发〔2015〕67号）。为深入贯彻党的十八大和十八届二中、三中、四中、五中全会精神，认真落实党中央、国务院决策部署，统筹城乡义务教育资源均衡配置，推动义务教育事业持续健康发展，国务院决定，自2016年起进一步完善城乡义务教育经费保障机制。</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义务教育是教育工作的重中之重，在全面建成小康社会进程中具有基础性、先导性和全局性的重要作用。自2006年实施农村义务教育经费保障机制改革以来，义务教育逐步纳入公共财政保障范围，城乡免费义务教育全面实现，稳定增长的经费保障机制基本建立，九年义务教育全面普及，县域内义务教育均衡发展水平不断提高。但随着我国新型城镇化建设和户籍制度改革不断推进，学生流动性加大，现行义务教育经费保障机制已不能很好适应新形势要求。城乡义务教育经费保障机制有关政策不统一、经费可携带性不强、资源配置不够均衡、综合改革有待深化等问题，都需要进一步采取措施，切实加以解决。</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整合农村义务教育经费保障机制和城市义务教育奖补政策的基础上，建立城乡统一、重在农村的义务教育经费保障机制，是教育领域健全城乡发展一体化体制机制的重大举措。这有利于推动省级政府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建设人力资源强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关于下达2024年城乡义务教育补助经费预算的通知》财教〔2024〕64号文件，提高义务教育家庭经济困难学生生活补助标准。为深入贯彻落实党的二十大精神，进一步完善覆盖全学段学生资助体系，经国务院同意，从2024年春季学期起提高家庭经济困难寄宿生生活补助国家基础标准，年生均小学由1000元提高到1250元，初中由1250元提高到1500元；家庭经济困难非寄宿生生活补助标准继续按寄宿生生活补助国家基础标准的50%核定。在此基础上，继续对人口较少民族家庭经济困难寄宿生按照年生均250元标准增加生活补助，所需资金由中央财政负担。各省级教育、财政部门要统筹兼顾省以下地区间经济发展水平、居民家庭收入等情况，督促指导市县教育、财政部门持续做好家庭经济困难学生认定和生活补助发放工作，进一步提高资助精准度。落实好学生“两免一补”和营养膳食补助政策。各地教育、财政部门要按规定对义务教育学生（含民办学校学生）落实“两免一补”政策，对义务教育学校（含民办学校）按照不低于生均公用经费基准定额的标准补助公用经费。在安排学校公用经费时，要向寄宿制学校、规模较小学校等薄弱学校倾斜。省级财政、教育部门要督促指导市县财政、教育部门按规定及时足额拨付义务教育学校公用经费和营养膳食补助等资金，规范政府采购行为，严禁滞拨缓拨、虚报冒领、挤占挪用经费;统筹解决学校自主经营食堂（伙房）供餐增加的聘用人员待遇等开支。提高农村学校校舍单位面积补助测算标准。从2024年起提高单位面积补助测算标准，东中部地区由800元/平方米提高到1100元/平方米、西部地区由900元/平方米提高到1200元/平方米，并适当提高高寒高海拔等地区测算标准。财政部、教育部根据各地报送的安全校舍面积等情况，核定2024年校舍安全保障长效机制补助资金。各地要科学确定年度项目计划，做好项目前期准备工作，加快执行进度，支持公办学校维修改造、抗震加固、改扩建校舍及其附属设施。同时，继续做好与发展改革部门安排基本建设项目等各渠道资金的统筹和对接，防止资金、项目安排重复交叉或缺位。综上所述，体现项目立项的重要性和必要性。</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2.主要内容及实施情况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（1）主要内容</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为教育公平是社会公平的重要基础，促进教育公平是国家基本教育政策。党和国家高度重视家庭经济困难学生上学问题，近些年中央有关部门密集出台相关资助政策措施，已建立起覆盖学前教育至研究生教育的学生资助政策体系，从制度上保障了不让一个学生因家庭经济困难而失学。建立普通高中家庭经济困难学生国家资助制度，是贯彻落实科学发展观、构建社会主义和谐社会的重要举措，是实施科教兴国和人才强国战略，优化教育结构，加快普及高中阶段教育的有效手段，对于完善国家资助政策体系，帮助家庭经济困难学生顺利完成学业，促进教育公平，具有重大意义。</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根据岳普湖县实际情况，为义务教育阶段18742名困难学生按照标准发放困难学生生活补助，保障义务教育阶段家庭经济困难学生享受生活补助政策全覆盖，享受免费教科书政策的学生全覆盖。</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（2）实施情况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color w:val="auto"/>
          <w:highlight w:val="none"/>
        </w:rPr>
        <w:t xml:space="preserve">项目实施前由项目负责人</w:t>
      </w:r>
      <w:r>
        <w:rPr>
          <w:rFonts w:ascii="仿宋_GB2312" w:hAnsi="仿宋_GB2312" w:cs="仿宋_GB2312" w:hint="eastAsia"/>
          <w:color w:val="auto"/>
          <w:highlight w:val="none"/>
        </w:rPr>
        <w:t xml:space="preserve">吾斯曼·库都斯</w:t>
      </w:r>
      <w:r>
        <w:rPr>
          <w:rFonts w:ascii="仿宋_GB2312" w:hAnsi="仿宋_GB2312" w:cs="仿宋_GB2312"/>
          <w:color w:val="auto"/>
          <w:highlight w:val="none"/>
        </w:rPr>
        <w:t xml:space="preserve">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3.项目实施主体</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项目实施主体：</w:t>
      </w:r>
      <w:r>
        <w:rPr>
          <w:rFonts w:ascii="仿宋_GB2312" w:hAnsi="仿宋_GB2312" w:cs="仿宋_GB2312" w:hint="eastAsia"/>
          <w:color w:val="auto"/>
          <w:highlight w:val="none"/>
        </w:rPr>
        <w:t xml:space="preserve">岳普湖县教育局</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项目实施时间：</w:t>
      </w:r>
      <w:r>
        <w:rPr>
          <w:rFonts w:ascii="仿宋_GB2312" w:hAnsi="仿宋_GB2312" w:cs="仿宋_GB2312" w:hint="eastAsia"/>
          <w:color w:val="auto"/>
          <w:highlight w:val="none"/>
        </w:rPr>
        <w:t xml:space="preserve">2024年1月-12月</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实施主体基本情况：</w:t>
      </w:r>
      <w:r>
        <w:rPr>
          <w:rFonts w:ascii="仿宋_GB2312" w:hAnsi="仿宋_GB2312" w:cs="仿宋_GB2312" w:hint="eastAsia"/>
          <w:color w:val="auto"/>
          <w:highlight w:val="none"/>
        </w:rPr>
        <w:t xml:space="preserve">该项目实施主体单位为岳普湖县教育局，岳普湖县教育局成立时间为1972年2月；单位隶属关系为政府职能部门；下设部门有：岳普湖县教育教学质量监测中心、岳普湖县教育教学研究室、岳普湖县教育综合服务中心、岳普湖县教育核算中心、岳普湖县青少年校外活动中心。</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单位主要职能是：岳普湖县教育局全面贯彻党和国家的教育方针、政策和有关教育的法律、法规；研究起草教育工作的地方性法规、规章，并组织实施。综合管理全县基础教育（含学前教育）、高等教育、职业教育、成人教育以及特殊教育、社会力量办学、社区教育、扫盲等工作；指导、协调县乡镇有关部门的教育工作；负责全县教育督导评估工作。</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实施主体编制情况：</w:t>
      </w:r>
      <w:r>
        <w:rPr>
          <w:rFonts w:ascii="仿宋_GB2312" w:hAnsi="仿宋_GB2312" w:cs="仿宋_GB2312" w:hint="eastAsia"/>
          <w:color w:val="auto"/>
          <w:highlight w:val="none"/>
        </w:rPr>
        <w:t xml:space="preserve">岳普湖县教育局年末编制内实有人员人数3743人，其中：公务员4人，参照公务员法管理人员2人，事业管理人员和专业技术人员3737人</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4.资金投入情况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w:t>
      </w:r>
      <w:r>
        <w:rPr>
          <w:rFonts w:ascii="仿宋_GB2312" w:hAnsi="仿宋_GB2312" w:cs="仿宋_GB2312" w:hint="eastAsia"/>
          <w:color w:val="auto"/>
          <w:highlight w:val="none"/>
        </w:rPr>
        <w:t xml:space="preserve">项目资金安排落实情况分析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关于提前下达2024年城乡义务教育补助经费预算（中央直达资金）的通知》喀地财教〔2023〕78号、《关于提前下达2024年城乡义务教育补助经费预算（自治区直达资金）的通知》喀地财教〔2023〕85号、《关于下达2024年城乡义务教育补助经费（第二批）中央直达资金的通知》喀地财教〔2024〕27号、岳财预〔2024〕1号</w:t>
      </w:r>
      <w:r>
        <w:rPr>
          <w:rFonts w:ascii="仿宋_GB2312" w:hAnsi="仿宋_GB2312" w:cs="仿宋_GB2312" w:hint="eastAsia"/>
          <w:color w:val="auto"/>
          <w:highlight w:val="none"/>
        </w:rPr>
        <w:t xml:space="preserve">等文件，</w:t>
      </w:r>
      <w:r>
        <w:rPr>
          <w:rFonts w:ascii="仿宋_GB2312" w:hAnsi="仿宋_GB2312" w:cs="仿宋_GB2312" w:hint="eastAsia"/>
          <w:color w:val="auto"/>
          <w:highlight w:val="none"/>
        </w:rPr>
        <w:t xml:space="preserve">年初预算数</w:t>
      </w:r>
      <w:r>
        <w:rPr>
          <w:rFonts w:ascii="仿宋_GB2312" w:hAnsi="仿宋_GB2312" w:cs="仿宋_GB2312"/>
          <w:color w:val="auto"/>
          <w:highlight w:val="none"/>
        </w:rPr>
        <w:t xml:space="preserve">3132.76</w:t>
      </w:r>
      <w:r>
        <w:rPr>
          <w:rFonts w:ascii="仿宋_GB2312" w:hAnsi="仿宋_GB2312" w:cs="仿宋_GB2312" w:hint="eastAsia"/>
          <w:color w:val="auto"/>
          <w:highlight w:val="none"/>
        </w:rPr>
        <w:t xml:space="preserve">万元，全年预算数为</w:t>
      </w:r>
      <w:r>
        <w:rPr>
          <w:rFonts w:ascii="仿宋_GB2312" w:hAnsi="仿宋_GB2312" w:cs="仿宋_GB2312"/>
          <w:color w:val="auto"/>
          <w:highlight w:val="none"/>
        </w:rPr>
        <w:t xml:space="preserve">3132.76</w:t>
      </w:r>
      <w:r>
        <w:rPr>
          <w:rFonts w:ascii="仿宋_GB2312" w:hAnsi="仿宋_GB2312" w:cs="仿宋_GB2312" w:hint="eastAsia"/>
          <w:color w:val="auto"/>
          <w:highlight w:val="none"/>
        </w:rPr>
        <w:t xml:space="preserve">万元，其中：财政资金</w:t>
      </w:r>
      <w:r>
        <w:rPr>
          <w:rFonts w:ascii="仿宋_GB2312" w:hAnsi="仿宋_GB2312" w:cs="仿宋_GB2312"/>
          <w:color w:val="auto"/>
          <w:highlight w:val="none"/>
        </w:rPr>
        <w:t xml:space="preserve">3132.76</w:t>
      </w:r>
      <w:r>
        <w:rPr>
          <w:rFonts w:ascii="仿宋_GB2312" w:hAnsi="仿宋_GB2312" w:cs="仿宋_GB2312" w:hint="eastAsia"/>
          <w:color w:val="auto"/>
          <w:highlight w:val="none"/>
        </w:rPr>
        <w:t xml:space="preserve">万元，其他资金</w:t>
      </w:r>
      <w:r>
        <w:rPr>
          <w:rFonts w:ascii="仿宋_GB2312" w:hAnsi="仿宋_GB2312" w:cs="仿宋_GB2312" w:hint="eastAsia"/>
          <w:color w:val="auto"/>
          <w:highlight w:val="none"/>
        </w:rPr>
        <w:t xml:space="preserve">0.00</w:t>
      </w:r>
      <w:r>
        <w:rPr>
          <w:rFonts w:ascii="仿宋_GB2312" w:hAnsi="仿宋_GB2312" w:cs="仿宋_GB2312" w:hint="eastAsia"/>
          <w:color w:val="auto"/>
          <w:highlight w:val="none"/>
        </w:rPr>
        <w:t xml:space="preserve">万元。</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（2）项目资金总投入情况分析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截止2024年12月31日，实际到位项目资金</w:t>
      </w:r>
      <w:r>
        <w:rPr>
          <w:rFonts w:ascii="仿宋_GB2312" w:hAnsi="仿宋_GB2312" w:cs="仿宋_GB2312"/>
          <w:color w:val="auto"/>
          <w:highlight w:val="none"/>
        </w:rPr>
        <w:t xml:space="preserve">3132.76</w:t>
      </w:r>
      <w:r>
        <w:rPr>
          <w:rFonts w:ascii="仿宋_GB2312" w:hAnsi="仿宋_GB2312" w:cs="仿宋_GB2312" w:hint="eastAsia"/>
          <w:color w:val="auto"/>
          <w:highlight w:val="none"/>
        </w:rPr>
        <w:t xml:space="preserve">万元，预算资金到位率为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color w:val="auto"/>
          <w:highlight w:val="none"/>
        </w:rPr>
      </w:pPr>
      <w:r>
        <w:rPr>
          <w:rFonts w:ascii="仿宋_GB2312" w:hAnsi="仿宋_GB2312" w:cs="仿宋_GB2312" w:hint="eastAsia"/>
          <w:b/>
          <w:bCs/>
          <w:color w:val="auto"/>
          <w:highlight w:val="none"/>
        </w:rPr>
        <w:t xml:space="preserve">5.资金使用情况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截止2024年12月31日，本项目实际支付资金</w:t>
      </w:r>
      <w:r>
        <w:rPr>
          <w:rFonts w:ascii="仿宋_GB2312" w:hAnsi="仿宋_GB2312" w:cs="仿宋_GB2312"/>
          <w:color w:val="auto"/>
          <w:highlight w:val="none"/>
        </w:rPr>
        <w:t xml:space="preserve">3053.89</w:t>
      </w:r>
      <w:r>
        <w:rPr>
          <w:rFonts w:ascii="仿宋_GB2312" w:hAnsi="仿宋_GB2312" w:cs="仿宋_GB2312" w:hint="eastAsia"/>
          <w:color w:val="auto"/>
          <w:highlight w:val="none"/>
        </w:rPr>
        <w:t xml:space="preserve">万元，预算执行率</w:t>
      </w:r>
      <w:r>
        <w:rPr>
          <w:rFonts w:ascii="仿宋_GB2312" w:hAnsi="仿宋_GB2312" w:cs="仿宋_GB2312" w:hint="eastAsia"/>
          <w:color w:val="auto"/>
          <w:highlight w:val="none"/>
        </w:rPr>
        <w:t xml:space="preserve">97.5%</w:t>
      </w:r>
      <w:r>
        <w:rPr>
          <w:rFonts w:ascii="仿宋_GB2312" w:hAnsi="仿宋_GB2312" w:cs="仿宋_GB2312" w:hint="eastAsia"/>
          <w:color w:val="auto"/>
          <w:highlight w:val="none"/>
        </w:rPr>
        <w:t xml:space="preserve">。项目资金主要用于岳普湖县学校困难学生生活补助当年度保障任务（困难学生伙食补助）。</w:t>
      </w:r>
    </w:p>
    <w:p>
      <w:pPr>
        <w:pStyle w:val="闻政-正文二级标题"/>
        <w:keepNext w:val="0"/>
        <w:keepLines w:val="0"/>
        <w:spacing w:line="520" w:lineRule="exact"/>
        <w:ind w:left="560"/>
        <w:jc w:val="both"/>
        <w:rPr>
          <w:color w:val="auto"/>
          <w:highlight w:val="none"/>
        </w:rPr>
      </w:pPr>
      <w:bookmarkStart w:id="20" w:name="_Toc127054585"/>
      <w:bookmarkStart w:id="21" w:name="_Toc23928_WPSOffice_Level2"/>
      <w:bookmarkStart w:id="22" w:name="_Toc18974"/>
      <w:bookmarkStart w:id="23" w:name="_Toc23149"/>
      <w:bookmarkStart w:id="24" w:name="_Toc20532"/>
      <w:bookmarkStart w:id="25" w:name="_Toc19378"/>
      <w:bookmarkStart w:id="26" w:name="_Toc32607_WPSOffice_Level2"/>
      <w:bookmarkStart w:id="27" w:name="_Toc18631"/>
      <w:bookmarkStart w:id="28" w:name="_Toc13569"/>
      <w:bookmarkStart w:id="29" w:name="_Toc1686_WPSOffice_Level2"/>
      <w:r>
        <w:rPr>
          <w:rFonts w:hint="eastAsia"/>
          <w:color w:val="auto"/>
          <w:highlight w:val="none"/>
        </w:rPr>
        <w:t xml:space="preserve">（二）项目绩效目标</w:t>
      </w:r>
      <w:bookmarkEnd w:id="20"/>
      <w:bookmarkEnd w:id="21"/>
      <w:bookmarkEnd w:id="22"/>
      <w:bookmarkEnd w:id="23"/>
      <w:bookmarkEnd w:id="24"/>
      <w:bookmarkEnd w:id="25"/>
      <w:bookmarkEnd w:id="26"/>
      <w:bookmarkEnd w:id="27"/>
      <w:bookmarkEnd w:id="28"/>
      <w:bookmarkEnd w:id="29"/>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1.项目总体目标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岳普湖县实际情况，为义务教育阶段18742名困难学生按照标准发放困难学生生活补助，保障义务教育阶段家庭经济困难学生享受生活补助政策全覆盖，享受免费教科书政策的学生全覆盖。通过项目的实施减轻学生家庭经济负担，维护学校正常运转能力，改善学校办学条件，为义务教育阶段学校正常运转、完成教育教学活动和其他日常工作提供保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2.项目阶段性目标</w:t>
      </w:r>
      <w:bookmarkStart w:id="30" w:name="_Toc24349"/>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前期准备：通过制定项目实施方案，经项目负责人审核通过后，有序开展后续工作。</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组织实施：资金一到位，立即根据项目要求实施项目。项目责任人按照项目实施方案要求逐一进行项目部署安排，提高项目质量及效率性。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项目投入：</w:t>
      </w:r>
      <w:r>
        <w:rPr>
          <w:rFonts w:ascii="仿宋_GB2312" w:hAnsi="仿宋_GB2312" w:cs="仿宋_GB2312" w:hint="eastAsia"/>
          <w:color w:val="auto"/>
          <w:highlight w:val="none"/>
        </w:rPr>
        <w:t xml:space="preserve">本项目预算安排总额为</w:t>
      </w:r>
      <w:r>
        <w:rPr>
          <w:rFonts w:ascii="仿宋_GB2312" w:hAnsi="仿宋_GB2312" w:cs="仿宋_GB2312"/>
          <w:color w:val="auto"/>
          <w:highlight w:val="none"/>
        </w:rPr>
        <w:t xml:space="preserve">3132.76</w:t>
      </w:r>
      <w:r>
        <w:rPr>
          <w:rFonts w:ascii="仿宋_GB2312" w:hAnsi="仿宋_GB2312" w:cs="仿宋_GB2312"/>
          <w:color w:val="auto"/>
          <w:highlight w:val="none"/>
        </w:rPr>
        <w:tab/>
      </w:r>
      <w:r>
        <w:rPr>
          <w:rFonts w:ascii="仿宋_GB2312" w:hAnsi="仿宋_GB2312" w:cs="仿宋_GB2312" w:hint="eastAsia"/>
          <w:color w:val="auto"/>
          <w:highlight w:val="none"/>
        </w:rPr>
        <w:t xml:space="preserve">万元，为</w:t>
      </w:r>
      <w:r>
        <w:rPr>
          <w:rFonts w:ascii="仿宋_GB2312" w:hAnsi="仿宋_GB2312" w:cs="仿宋_GB2312" w:hint="eastAsia"/>
          <w:color w:val="auto"/>
          <w:highlight w:val="none"/>
        </w:rPr>
        <w:t xml:space="preserve">上级转移支付和本级财力追加</w:t>
      </w:r>
      <w:r>
        <w:rPr>
          <w:rFonts w:ascii="仿宋_GB2312" w:hAnsi="仿宋_GB2312" w:cs="仿宋_GB2312" w:hint="eastAsia"/>
          <w:color w:val="auto"/>
          <w:highlight w:val="none"/>
        </w:rPr>
        <w:t xml:space="preserve">资金。</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项目产出：</w:t>
      </w:r>
      <w:r>
        <w:rPr>
          <w:rFonts w:ascii="仿宋_GB2312" w:hAnsi="仿宋_GB2312" w:cs="仿宋_GB2312" w:hint="eastAsia"/>
          <w:color w:val="auto"/>
          <w:highlight w:val="none"/>
        </w:rPr>
        <w:t xml:space="preserve">为义务教育阶段18742名困难学生按照标准发放困难学生生活补助，保障义务教育阶段家庭经济困难学生享受生活补助政策全覆盖，享受免费教科书政策的学生全覆盖。</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项目效果：</w:t>
      </w:r>
      <w:r>
        <w:rPr>
          <w:rFonts w:ascii="仿宋_GB2312" w:hAnsi="仿宋_GB2312" w:cs="仿宋_GB2312" w:hint="eastAsia"/>
          <w:color w:val="auto"/>
          <w:highlight w:val="none"/>
        </w:rPr>
        <w:t xml:space="preserve">通过项目的实施减轻学生家庭经济负担，维护学校正常运转能力，改善学校办学条件，为义务教育阶段学校正常运转、完成教育教学活动和其他日常工作提供保障。</w:t>
      </w:r>
    </w:p>
    <w:p>
      <w:pPr>
        <w:pStyle w:val="闻政-正文一级标题"/>
        <w:keepNext w:val="0"/>
        <w:keepLines w:val="0"/>
        <w:spacing w:line="520" w:lineRule="exact"/>
        <w:ind w:firstLine="640" w:firstLineChars="200"/>
        <w:jc w:val="both"/>
        <w:rPr>
          <w:rFonts w:hint="eastAsia"/>
          <w:color w:val="auto"/>
          <w:highlight w:val="none"/>
        </w:rPr>
      </w:pPr>
      <w:bookmarkStart w:id="31" w:name="_Toc32174_WPSOffice_Level1"/>
      <w:bookmarkStart w:id="32" w:name="_Toc127054586"/>
      <w:bookmarkStart w:id="33" w:name="_Toc12560_WPSOffice_Level1"/>
      <w:bookmarkStart w:id="34" w:name="_Toc1545_WPSOffice_Level1"/>
      <w:bookmarkStart w:id="35" w:name="_Toc10478"/>
      <w:bookmarkStart w:id="36" w:name="_Toc8160"/>
      <w:bookmarkStart w:id="37" w:name="_Toc17863"/>
      <w:bookmarkStart w:id="38" w:name="_Toc3608"/>
      <w:bookmarkStart w:id="39" w:name="_Toc9278"/>
      <w:r>
        <w:rPr>
          <w:rFonts w:hint="eastAsia"/>
          <w:color w:val="auto"/>
          <w:highlight w:val="none"/>
        </w:rPr>
        <w:t xml:space="preserve">二、绩效评价工作开展情况</w:t>
      </w:r>
      <w:bookmarkEnd w:id="30"/>
      <w:bookmarkEnd w:id="31"/>
      <w:bookmarkEnd w:id="32"/>
      <w:bookmarkEnd w:id="33"/>
      <w:bookmarkEnd w:id="34"/>
      <w:bookmarkEnd w:id="35"/>
      <w:bookmarkEnd w:id="36"/>
      <w:bookmarkEnd w:id="37"/>
      <w:bookmarkEnd w:id="38"/>
      <w:bookmarkEnd w:id="39"/>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40" w:name="_Toc20761"/>
      <w:bookmarkStart w:id="41" w:name="_Toc14202_WPSOffice_Level2"/>
      <w:bookmarkStart w:id="42" w:name="_Toc1092"/>
      <w:bookmarkStart w:id="43" w:name="_Toc27953"/>
      <w:bookmarkStart w:id="44" w:name="_Toc127054587"/>
      <w:bookmarkStart w:id="45" w:name="_Toc17696_WPSOffice_Level2"/>
      <w:bookmarkStart w:id="46" w:name="_Toc10259_WPSOffice_Level2"/>
      <w:bookmarkStart w:id="47" w:name="_Toc15466"/>
      <w:bookmarkStart w:id="48" w:name="_Toc1997"/>
      <w:bookmarkStart w:id="49" w:name="_Toc25691"/>
      <w:r>
        <w:rPr>
          <w:rFonts w:ascii="仿宋_GB2312" w:hAnsi="仿宋_GB2312" w:cs="仿宋_GB2312" w:hint="eastAsia"/>
          <w:color w:val="auto"/>
          <w:highlight w:val="none"/>
        </w:rPr>
        <w:t xml:space="preserve">（一）绩效评价目的、对象、时间和范围</w:t>
      </w:r>
      <w:bookmarkEnd w:id="40"/>
      <w:bookmarkEnd w:id="41"/>
      <w:bookmarkEnd w:id="42"/>
      <w:bookmarkEnd w:id="43"/>
      <w:bookmarkEnd w:id="44"/>
      <w:bookmarkEnd w:id="45"/>
      <w:bookmarkEnd w:id="46"/>
      <w:bookmarkEnd w:id="47"/>
      <w:bookmarkEnd w:id="48"/>
      <w:bookmarkEnd w:id="49"/>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1.绩效评价完整性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项目绩效评价过程中，应全面考虑项目的各个方面，包括项目的目标设定、实施过程、资源利用、风险控制、产出效果等。此外，完整性要求评价充分考虑项目效益的发挥贡献。</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为了实现项目绩效评价的完整性，建立一套科学、合理、系统的评价指标体系。评价体系能够全面反映项目的特点和要求，确保评价的准确性和有效性。</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2.绩效评价目的</w:t>
      </w:r>
    </w:p>
    <w:p>
      <w:pPr>
        <w:pStyle w:val="闻政-正文三级标题"/>
        <w:widowControl w:val="0"/>
        <w:spacing w:line="520" w:lineRule="exact"/>
        <w:ind w:left="0" w:firstLine="560" w:leftChars="0" w:firstLineChars="200"/>
        <w:rPr>
          <w:rFonts w:ascii="仿宋_GB2312" w:hAnsi="仿宋_GB2312" w:cs="仿宋_GB2312" w:hint="eastAsia"/>
          <w:b w:val="0"/>
          <w:snapToGrid/>
          <w:color w:val="auto"/>
          <w:highlight w:val="none"/>
        </w:rPr>
      </w:pPr>
      <w:r>
        <w:rPr>
          <w:rFonts w:ascii="仿宋_GB2312" w:hAnsi="仿宋_GB2312" w:cs="仿宋_GB2312" w:hint="eastAsia"/>
          <w:b w:val="0"/>
          <w:snapToGrid/>
          <w:color w:val="auto"/>
          <w:highlight w:val="none"/>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w:t>
      </w:r>
      <w:r>
        <w:rPr>
          <w:rFonts w:ascii="仿宋_GB2312" w:hAnsi="仿宋_GB2312" w:cs="仿宋_GB2312" w:hint="eastAsia"/>
          <w:b w:val="0"/>
          <w:snapToGrid/>
          <w:color w:val="auto"/>
          <w:highlight w:val="none"/>
        </w:rPr>
        <w:t xml:space="preserve">城乡义务教育补助经费项目（家庭经济困难学生生活补助）</w:t>
      </w:r>
      <w:r>
        <w:rPr>
          <w:rFonts w:ascii="仿宋_GB2312" w:hAnsi="仿宋_GB2312" w:cs="仿宋_GB2312" w:hint="eastAsia"/>
          <w:b w:val="0"/>
          <w:snapToGrid/>
          <w:color w:val="auto"/>
          <w:highlight w:val="none"/>
        </w:rPr>
        <w:t xml:space="preserve">”开展本次部门项目支出绩效评价工作旨在评价财政项目的实施前期、过程及效果，评价财政预算资金使用的效率及效益。</w:t>
      </w:r>
    </w:p>
    <w:p>
      <w:pPr>
        <w:pStyle w:val="闻政-正文三级标题"/>
        <w:widowControl w:val="0"/>
        <w:spacing w:line="520" w:lineRule="exact"/>
        <w:ind w:left="0" w:firstLine="560" w:leftChars="0" w:firstLineChars="200"/>
        <w:rPr>
          <w:rFonts w:ascii="仿宋_GB2312" w:hAnsi="仿宋_GB2312" w:cs="仿宋_GB2312" w:hint="eastAsia"/>
          <w:b w:val="0"/>
          <w:snapToGrid/>
          <w:color w:val="auto"/>
          <w:highlight w:val="none"/>
        </w:rPr>
      </w:pPr>
      <w:r>
        <w:rPr>
          <w:rFonts w:ascii="仿宋_GB2312" w:hAnsi="仿宋_GB2312" w:cs="仿宋_GB2312" w:hint="eastAsia"/>
          <w:b w:val="0"/>
          <w:snapToGrid/>
          <w:color w:val="auto"/>
          <w:highlight w:val="none"/>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二是通过部门项目支出绩效评价，进一步做实绩效目标，根据项目绩效目标设立情况，细化形成多维度绩效指标，保证项目绩效指标设置科学、规范、合理、可衡量。</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3.绩效评价对象</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w:t>
      </w:r>
      <w:r>
        <w:rPr>
          <w:rFonts w:ascii="仿宋_GB2312" w:hAnsi="仿宋_GB2312" w:cs="仿宋_GB2312" w:hint="eastAsia"/>
          <w:color w:val="auto"/>
          <w:highlight w:val="none"/>
        </w:rPr>
        <w:t xml:space="preserve">城乡义务教育补助经费项目（家庭经济困难学生生活补助）</w:t>
      </w:r>
      <w:r>
        <w:rPr>
          <w:rFonts w:ascii="仿宋_GB2312" w:hAnsi="仿宋_GB2312" w:cs="仿宋_GB2312" w:hint="eastAsia"/>
          <w:color w:val="auto"/>
          <w:highlight w:val="none"/>
        </w:rPr>
        <w:t xml:space="preserve">”支出为对象所对应的预算资金，以本项目实施所带来的产出和效果为主要内容，以促进预算单位完成特定工作任务目标所组织开展的绩效评价。</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4.绩效评价时间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本次绩效评价工作开展时间为2025年1月16日至2025年2月28日。</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5.绩效评价范围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本次评价范围涵盖项目总体绩效目标、各项绩效指标完成情况以及预算执行情况。对项目预算资金支出的所有内容进行评价。包括项目决策、项目实施和项目成果验收流程等。</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50" w:name="_Toc2200"/>
      <w:bookmarkStart w:id="51" w:name="_Toc10463_WPSOffice_Level2"/>
      <w:bookmarkStart w:id="52" w:name="_Toc10930_WPSOffice_Level2"/>
      <w:bookmarkStart w:id="53" w:name="_Toc6151"/>
      <w:bookmarkStart w:id="54" w:name="_Toc18827"/>
      <w:bookmarkStart w:id="55" w:name="_Toc7586"/>
      <w:bookmarkStart w:id="56" w:name="_Toc127054588"/>
      <w:bookmarkStart w:id="57" w:name="_Toc2006_WPSOffice_Level2"/>
      <w:bookmarkStart w:id="58" w:name="_Toc5010"/>
      <w:bookmarkStart w:id="59" w:name="_Toc5510"/>
      <w:r>
        <w:rPr>
          <w:rFonts w:ascii="仿宋_GB2312" w:hAnsi="仿宋_GB2312" w:cs="仿宋_GB2312" w:hint="eastAsia"/>
          <w:color w:val="auto"/>
          <w:highlight w:val="none"/>
        </w:rPr>
        <w:t xml:space="preserve">（二）绩效评价原则、评价指标体系、评价方法和评价标准</w:t>
      </w:r>
      <w:bookmarkEnd w:id="50"/>
      <w:bookmarkEnd w:id="51"/>
      <w:bookmarkEnd w:id="52"/>
      <w:bookmarkEnd w:id="53"/>
      <w:bookmarkEnd w:id="54"/>
      <w:bookmarkEnd w:id="55"/>
      <w:bookmarkEnd w:id="56"/>
      <w:bookmarkEnd w:id="57"/>
      <w:bookmarkEnd w:id="58"/>
      <w:bookmarkEnd w:id="59"/>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1.绩效评价原则</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本次绩效评价遵循的原则包括：</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（1）科学公正。绩效评价应当运用科学合理的方法，按照规范的程序，对项目绩效进行客观、公正的反映。</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（3）激励约束。绩效评价结果应与预算安排、政策调整、改进管理实质性挂钩，体现奖优罚劣和激励相容导向，有效要安排、低效要压减、无效要问责。</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（4）公开透明。绩效评价结果应依法依规公开，并自觉接受社会监督。</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2.绩效评价指标体系</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一级指标为：决策、过程、产出、效益。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二级指标为：项目立项、绩效目标、资金投入、资金管理、组织实施、产出数量、产出质量、产出时效、产出成本、项目效益。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w:t>
      </w:r>
      <w:r>
        <w:rPr>
          <w:rFonts w:ascii="仿宋_GB2312" w:hAnsi="仿宋_GB2312" w:cs="仿宋_GB2312" w:hint="eastAsia"/>
          <w:color w:val="auto"/>
          <w:highlight w:val="none"/>
        </w:rPr>
        <w:t xml:space="preserve">困难学生生活补助补贴人数、享受免费教科书政策的学生比例、家庭经济困难学生享受生活补助政策比例、项目完成及时率、资金支付完成时间、困难学生生活补助人均预算控制数、减轻学生家庭经济负担、家长和学生满意度</w:t>
      </w:r>
      <w:r>
        <w:rPr>
          <w:rFonts w:ascii="仿宋_GB2312" w:hAnsi="仿宋_GB2312" w:cs="仿宋_GB2312" w:hint="eastAsia"/>
          <w:color w:val="auto"/>
          <w:highlight w:val="none"/>
        </w:rPr>
        <w:t xml:space="preserve">。</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3.绩效评价方法</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本次评价采用定量与定性评价相结合的比较法、文献法、公众评判法等方法，总分由各项指标得分汇总形成。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（1）项目决策方面：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立项依据充分性：比较法、文献法，查找法律法规政策以及规划，对比实际执行内容和政策支持内容是否匹配。</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立项程序规范性：比较法、文献法，查找相关项目设立的政策和文件要求，对比分析实际执行程序是否按照政策及文件要求执行，分析立项程序的规范性。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绩效目标合理性：比较法，对比分析年初编制项目支出绩效目标表与项目内容的相关性、资金的匹配性等。</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绩效指标明确性：比较法，比较分析年初编制项目支出绩效目标表是否符合双七原则，是否可衡量。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预算编制科学性：成本效益分析法，分析在产出一定的情况下，成本取值是否有依据，是否经过询价，是否按照市场最低成本编制。</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资金分配合理性：因素分析法，综合分析资金的分配依据是否充分，分配金额是否与项目实施单位需求金额一致。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（2）项目过程方面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资金到位率：比较法，资金到位率预期指标值应为100%，通过实际计算，分析实际完成值和预期指标值之间的差距和原因。</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预算执行率：比较法，预算执行率预期指标值应为100%，通过实际计算，分析实际完成值和预期指标值之间的差距和原因。</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制度执行有效性：比较法，结合项目实际实施过程性文件，根据已建设的财务管理制度和项目管理制度综合分析制度执行的有效性。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（3）项目产出方面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（4）项目效益方面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公众评判法、实地勘察法，通过实地勘察、问卷及抽样调查等方式评价本项目实施后社会公众或服务对象对项目实施效果的满意程度。</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4.绩效评价标准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计划标准：指以预先制定的目标、计划、预算、定额等作为评价标准。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行业标准：指参照国家公布的行业指标数据制定的评价标准。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历史标准：指参照历史数据制定的评价标准，为体现绩效改进的原则，在可实现的条件下应当确定相对较高的评价标准。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城乡义务教育补助经费项目（家庭经济困难学生生活补助）</w:t>
      </w:r>
      <w:r>
        <w:rPr>
          <w:rFonts w:ascii="仿宋_GB2312" w:hAnsi="仿宋_GB2312" w:cs="仿宋_GB2312" w:hint="eastAsia"/>
          <w:color w:val="auto"/>
          <w:highlight w:val="none"/>
        </w:rPr>
        <w:t xml:space="preserve">”采用的是计划标准，以事先制定的目标、计划、预算、定额等预计数据作为评价财政支出绩效的标准。通过将实际完成值与预定数据进行对比，发现偏差及时通知实施单位进行限期整改并反馈整改情况。</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60" w:name="_Toc12894"/>
      <w:bookmarkStart w:id="61" w:name="_Toc19104_WPSOffice_Level2"/>
      <w:bookmarkStart w:id="62" w:name="_Toc127054589"/>
      <w:bookmarkStart w:id="63" w:name="_Toc20415"/>
      <w:bookmarkStart w:id="64" w:name="_Toc26838"/>
      <w:bookmarkStart w:id="65" w:name="_Toc12413_WPSOffice_Level2"/>
      <w:bookmarkStart w:id="66" w:name="_Toc26233_WPSOffice_Level2"/>
      <w:bookmarkStart w:id="67" w:name="_Toc17200"/>
      <w:bookmarkStart w:id="68" w:name="_Toc22357"/>
      <w:bookmarkStart w:id="69" w:name="_Toc31508"/>
      <w:r>
        <w:rPr>
          <w:rFonts w:ascii="仿宋_GB2312" w:hAnsi="仿宋_GB2312" w:cs="仿宋_GB2312" w:hint="eastAsia"/>
          <w:color w:val="auto"/>
          <w:highlight w:val="none"/>
        </w:rPr>
        <w:t xml:space="preserve">（三）绩效评价工作过程</w:t>
      </w:r>
      <w:bookmarkEnd w:id="60"/>
      <w:bookmarkEnd w:id="61"/>
      <w:bookmarkEnd w:id="62"/>
      <w:bookmarkEnd w:id="63"/>
      <w:bookmarkEnd w:id="64"/>
      <w:bookmarkEnd w:id="65"/>
      <w:bookmarkEnd w:id="66"/>
      <w:bookmarkEnd w:id="67"/>
      <w:bookmarkEnd w:id="68"/>
      <w:bookmarkEnd w:id="69"/>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本次评价设计了评价方案、评价指标体系，通过资料分析、调研、访谈满意度调查等方式形成评价结论，在与项目单位沟通后确定评价意见，并出具评价报告。</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1.前期准备阶段（2025年1月16日—1月18日）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作为绩效评价工作具体实施机构，绩效评价组成员构成如下：</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吾斯曼·库都斯</w:t>
      </w:r>
      <w:r>
        <w:rPr>
          <w:rFonts w:ascii="仿宋_GB2312" w:hAnsi="仿宋_GB2312" w:cs="仿宋_GB2312"/>
          <w:color w:val="auto"/>
          <w:highlight w:val="none"/>
        </w:rPr>
        <w:t xml:space="preserve">任</w:t>
      </w:r>
      <w:r>
        <w:rPr>
          <w:rFonts w:ascii="仿宋_GB2312" w:hAnsi="仿宋_GB2312" w:cs="仿宋_GB2312" w:hint="eastAsia"/>
          <w:color w:val="auto"/>
          <w:highlight w:val="none"/>
        </w:rPr>
        <w:t xml:space="preserve">绩效</w:t>
      </w:r>
      <w:r>
        <w:rPr>
          <w:rFonts w:ascii="仿宋_GB2312" w:hAnsi="仿宋_GB2312" w:cs="仿宋_GB2312"/>
          <w:color w:val="auto"/>
          <w:highlight w:val="none"/>
        </w:rPr>
        <w:t xml:space="preserve">评价组组长，绩效评价工作职责为负责全盘工作</w:t>
      </w:r>
      <w:r>
        <w:rPr>
          <w:rFonts w:ascii="仿宋_GB2312" w:hAnsi="仿宋_GB2312" w:cs="仿宋_GB2312" w:hint="eastAsia"/>
          <w:color w:val="auto"/>
          <w:highlight w:val="none"/>
        </w:rPr>
        <w:t xml:space="preserve">，</w:t>
      </w:r>
      <w:r>
        <w:rPr>
          <w:rFonts w:ascii="仿宋_GB2312" w:hAnsi="仿宋_GB2312" w:cs="仿宋_GB2312"/>
          <w:color w:val="auto"/>
          <w:highlight w:val="none"/>
        </w:rPr>
        <w:t xml:space="preserve">对项目实施情况进行实地调查。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王胜朝、王海峰、李玉光、姜兴乐、苗亮、苟亚军、魏国洪、汤建梅、代丽丽</w:t>
      </w:r>
      <w:r>
        <w:rPr>
          <w:rFonts w:ascii="仿宋_GB2312" w:hAnsi="仿宋_GB2312" w:cs="仿宋_GB2312"/>
          <w:color w:val="auto"/>
          <w:highlight w:val="none"/>
        </w:rPr>
        <w:t xml:space="preserve">任</w:t>
      </w:r>
      <w:r>
        <w:rPr>
          <w:rFonts w:ascii="仿宋_GB2312" w:hAnsi="仿宋_GB2312" w:cs="仿宋_GB2312" w:hint="eastAsia"/>
          <w:color w:val="auto"/>
          <w:highlight w:val="none"/>
        </w:rPr>
        <w:t xml:space="preserve">绩效</w:t>
      </w:r>
      <w:r>
        <w:rPr>
          <w:rFonts w:ascii="仿宋_GB2312" w:hAnsi="仿宋_GB2312" w:cs="仿宋_GB2312"/>
          <w:color w:val="auto"/>
          <w:highlight w:val="none"/>
        </w:rPr>
        <w:t xml:space="preserve">评价组成员，绩效评价工作职责</w:t>
      </w:r>
      <w:r>
        <w:rPr>
          <w:rFonts w:ascii="仿宋_GB2312" w:hAnsi="仿宋_GB2312" w:cs="仿宋_GB2312" w:hint="eastAsia"/>
          <w:color w:val="auto"/>
          <w:highlight w:val="none"/>
        </w:rPr>
        <w:t xml:space="preserve">对</w:t>
      </w:r>
      <w:r>
        <w:rPr>
          <w:rFonts w:ascii="仿宋_GB2312" w:hAnsi="仿宋_GB2312" w:cs="仿宋_GB2312"/>
          <w:color w:val="auto"/>
          <w:highlight w:val="none"/>
        </w:rPr>
        <w:t xml:space="preserve">项目实施情况进行实地调查</w:t>
      </w:r>
      <w:r>
        <w:rPr>
          <w:rFonts w:ascii="仿宋_GB2312" w:hAnsi="仿宋_GB2312" w:cs="仿宋_GB2312" w:hint="eastAsia"/>
          <w:color w:val="auto"/>
          <w:highlight w:val="none"/>
        </w:rPr>
        <w:t xml:space="preserve">，</w:t>
      </w:r>
      <w:r>
        <w:rPr>
          <w:rFonts w:ascii="仿宋_GB2312" w:hAnsi="仿宋_GB2312" w:cs="仿宋_GB2312"/>
          <w:color w:val="auto"/>
          <w:highlight w:val="none"/>
        </w:rPr>
        <w:t xml:space="preserve">负责资料审核等工作。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2.组织实施阶段（2025年1月19日—2月10日）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3.分析评价阶段（2025年2月11日—2月15日）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绩效评价组根据收集梳理的资料围绕项目立项、资金落实、业务管理、财务管理、项目产出、项目效益等内容，对照已确定的绩效评价指标进行详细全面的分析评价，逐项打分并形成绩效评价最终结果。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4.撰写与提交评价报告阶段（2025年2月16日-2月21日）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绩效评价组根据收集项目评价资料撰写绩效评价报告。按照新疆维吾尔自治区财政绩效管理信息系统绩效评价模块中的统一格式及文本框架撰写绩效评价报告并提交审核。</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5.归集档案阶段（2025年2月22日-2月28日）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建立和落实档案管理制度，由绩效评价组将项目相关资料存档，包括但不限于：评价项目基本情况和相关文件、评价实施方案、项目支付资料等相关档案。</w:t>
      </w:r>
    </w:p>
    <w:p>
      <w:pPr>
        <w:pStyle w:val="闻政-正文一级标题"/>
        <w:keepNext w:val="0"/>
        <w:keepLines w:val="0"/>
        <w:spacing w:line="520" w:lineRule="exact"/>
        <w:ind w:firstLine="640" w:firstLineChars="200"/>
        <w:jc w:val="both"/>
        <w:rPr>
          <w:rFonts w:hint="eastAsia"/>
          <w:color w:val="auto"/>
          <w:highlight w:val="none"/>
        </w:rPr>
      </w:pPr>
      <w:bookmarkStart w:id="70" w:name="_Toc127054590"/>
      <w:bookmarkStart w:id="71" w:name="_Toc4810"/>
      <w:bookmarkStart w:id="72" w:name="_Toc32607_WPSOffice_Level1"/>
      <w:bookmarkStart w:id="73" w:name="_Toc16646"/>
      <w:bookmarkStart w:id="74" w:name="_Toc1597"/>
      <w:bookmarkStart w:id="75" w:name="_Toc23928_WPSOffice_Level1"/>
      <w:bookmarkStart w:id="76" w:name="_Toc7014"/>
      <w:bookmarkStart w:id="77" w:name="_Toc5081"/>
      <w:bookmarkStart w:id="78" w:name="_Toc1686_WPSOffice_Level1"/>
      <w:bookmarkStart w:id="79" w:name="_Toc25359"/>
      <w:r>
        <w:rPr>
          <w:rFonts w:hint="eastAsia"/>
          <w:color w:val="auto"/>
          <w:highlight w:val="none"/>
        </w:rPr>
        <w:t xml:space="preserve">三、综合评价情况及评价结论</w:t>
      </w:r>
      <w:bookmarkEnd w:id="70"/>
      <w:bookmarkEnd w:id="71"/>
      <w:bookmarkEnd w:id="72"/>
      <w:bookmarkEnd w:id="73"/>
      <w:bookmarkEnd w:id="74"/>
      <w:bookmarkEnd w:id="75"/>
      <w:bookmarkEnd w:id="76"/>
      <w:bookmarkEnd w:id="77"/>
      <w:bookmarkEnd w:id="78"/>
      <w:bookmarkEnd w:id="79"/>
    </w:p>
    <w:p>
      <w:pPr>
        <w:pStyle w:val="闻政-正文二级标题"/>
        <w:keepNext w:val="0"/>
        <w:keepLines w:val="0"/>
        <w:spacing w:line="520" w:lineRule="exact"/>
        <w:ind w:left="560"/>
        <w:jc w:val="both"/>
        <w:rPr>
          <w:color w:val="auto"/>
          <w:highlight w:val="none"/>
        </w:rPr>
      </w:pPr>
      <w:bookmarkStart w:id="80" w:name="_Toc5941_WPSOffice_Level2"/>
      <w:bookmarkStart w:id="81" w:name="_Toc4710"/>
      <w:bookmarkStart w:id="82" w:name="_Toc22637"/>
      <w:bookmarkStart w:id="83" w:name="_Toc28208_WPSOffice_Level2"/>
      <w:bookmarkStart w:id="84" w:name="_Toc1796"/>
      <w:bookmarkStart w:id="85" w:name="_Toc24395"/>
      <w:bookmarkStart w:id="86" w:name="_Toc30078"/>
      <w:bookmarkStart w:id="87" w:name="_Toc6425"/>
      <w:bookmarkStart w:id="88" w:name="_Toc15650_WPSOffice_Level2"/>
      <w:bookmarkStart w:id="89" w:name="_Toc127054591"/>
      <w:r>
        <w:rPr>
          <w:rFonts w:hint="eastAsia"/>
          <w:color w:val="auto"/>
          <w:highlight w:val="none"/>
        </w:rPr>
        <w:t xml:space="preserve">（一）综合评价情况</w:t>
      </w:r>
      <w:bookmarkEnd w:id="80"/>
      <w:bookmarkEnd w:id="81"/>
      <w:bookmarkEnd w:id="82"/>
      <w:bookmarkEnd w:id="83"/>
      <w:bookmarkEnd w:id="84"/>
      <w:bookmarkEnd w:id="85"/>
      <w:bookmarkEnd w:id="86"/>
      <w:bookmarkEnd w:id="87"/>
      <w:bookmarkEnd w:id="88"/>
      <w:bookmarkEnd w:id="89"/>
    </w:p>
    <w:p>
      <w:pPr>
        <w:pStyle w:val="闻政-正文段落文字"/>
        <w:spacing w:line="520" w:lineRule="exact"/>
        <w:ind w:firstLine="560"/>
        <w:rPr>
          <w:color w:val="auto"/>
          <w:highlight w:val="none"/>
        </w:rPr>
      </w:pPr>
      <w:r>
        <w:rPr>
          <w:rFonts w:hint="eastAsia"/>
          <w:color w:val="auto"/>
          <w:highlight w:val="none"/>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在项目决策方面：立项符合国家法律法规、国民经济发展规划和相关政策，项目立项依据充分。项目按照规定的程序申请，经过必要的研究、论证和评估，立项程序规范。</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在项目管理方面：</w:t>
      </w:r>
      <w:r>
        <w:rPr>
          <w:rFonts w:ascii="仿宋_GB2312" w:hAnsi="仿宋_GB2312" w:cs="仿宋_GB2312" w:hint="eastAsia"/>
          <w:color w:val="auto"/>
          <w:highlight w:val="none"/>
        </w:rPr>
        <w:t xml:space="preserve">本项目预算安排</w:t>
      </w:r>
      <w:r>
        <w:rPr>
          <w:rFonts w:ascii="仿宋_GB2312" w:hAnsi="仿宋_GB2312" w:cs="仿宋_GB2312"/>
          <w:color w:val="auto"/>
          <w:highlight w:val="none"/>
        </w:rPr>
        <w:t xml:space="preserve">3132.76</w:t>
      </w:r>
      <w:r>
        <w:rPr>
          <w:rFonts w:ascii="仿宋_GB2312" w:hAnsi="仿宋_GB2312" w:cs="仿宋_GB2312" w:hint="eastAsia"/>
          <w:color w:val="auto"/>
          <w:highlight w:val="none"/>
        </w:rPr>
        <w:t xml:space="preserve">万元，实际支出</w:t>
      </w:r>
      <w:r>
        <w:rPr>
          <w:rFonts w:ascii="仿宋_GB2312" w:hAnsi="仿宋_GB2312" w:cs="仿宋_GB2312"/>
          <w:color w:val="auto"/>
          <w:highlight w:val="none"/>
        </w:rPr>
        <w:t xml:space="preserve">3053.89</w:t>
      </w:r>
      <w:r>
        <w:rPr>
          <w:rFonts w:ascii="仿宋_GB2312" w:hAnsi="仿宋_GB2312" w:cs="仿宋_GB2312" w:hint="eastAsia"/>
          <w:color w:val="auto"/>
          <w:highlight w:val="none"/>
        </w:rPr>
        <w:t xml:space="preserve">万元，预算执行率</w:t>
      </w:r>
      <w:r>
        <w:rPr>
          <w:rFonts w:ascii="仿宋_GB2312" w:hAnsi="仿宋_GB2312" w:cs="仿宋_GB2312" w:hint="eastAsia"/>
          <w:color w:val="auto"/>
          <w:highlight w:val="none"/>
        </w:rPr>
        <w:t xml:space="preserve">97.5%</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项目资金使用合规，项目财务管理制度健全，财务监控到位，所有资金支付均按照</w:t>
      </w:r>
      <w:r>
        <w:rPr>
          <w:rFonts w:ascii="仿宋_GB2312" w:hAnsi="仿宋_GB2312" w:cs="仿宋_GB2312" w:hint="eastAsia"/>
          <w:color w:val="auto"/>
          <w:highlight w:val="none"/>
        </w:rPr>
        <w:t xml:space="preserve">国库集中支付制度</w:t>
      </w:r>
      <w:r>
        <w:rPr>
          <w:rFonts w:ascii="仿宋_GB2312" w:hAnsi="仿宋_GB2312" w:cs="仿宋_GB2312" w:hint="eastAsia"/>
          <w:color w:val="auto"/>
          <w:highlight w:val="none"/>
        </w:rPr>
        <w:t xml:space="preserve">严格执行，现有项目管理制度执行情况良好。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在项目效果方面：</w:t>
      </w:r>
      <w:r>
        <w:rPr>
          <w:rFonts w:ascii="仿宋_GB2312" w:hAnsi="仿宋_GB2312" w:cs="仿宋_GB2312" w:hint="eastAsia"/>
          <w:color w:val="auto"/>
          <w:highlight w:val="none"/>
        </w:rPr>
        <w:t xml:space="preserve">项目已完成对岳普湖县学校困难学生生活补助当年度保障任务，保障困难学生生活补助补贴人数18742人，保障义务教育阶段家庭经济困难学生享受生活补助政策全覆盖，享受免费教科书政策的学生全覆盖。预算执行率97.5%。当年度支付任务已完成，12月份困难学生生活补助资金支付任务到次年对账完毕后才能支付，导致困难学生生活补助资金当年未全额支出，剩余资金结转下一年继续使用。通过项目的实施有效减轻学生家庭经济负担，维护学校正常运转能力，改善学校办学条件，为义务教育阶段学校正常运转、完成教育教学活动和其他日常工作提供保障。项目的受益人员满意度为100%。</w:t>
      </w:r>
    </w:p>
    <w:p>
      <w:pPr>
        <w:pStyle w:val="闻政-正文二级标题"/>
        <w:keepNext w:val="0"/>
        <w:keepLines w:val="0"/>
        <w:spacing w:line="520" w:lineRule="exact"/>
        <w:ind w:left="560"/>
        <w:jc w:val="both"/>
        <w:rPr>
          <w:color w:val="auto"/>
          <w:highlight w:val="none"/>
        </w:rPr>
      </w:pPr>
      <w:bookmarkStart w:id="90" w:name="_Toc30582_WPSOffice_Level2"/>
      <w:bookmarkStart w:id="91" w:name="_Toc6175"/>
      <w:bookmarkStart w:id="92" w:name="_Toc19466"/>
      <w:bookmarkStart w:id="93" w:name="_Toc7246"/>
      <w:bookmarkStart w:id="94" w:name="_Toc24314"/>
      <w:bookmarkStart w:id="95" w:name="_Toc25689_WPSOffice_Level2"/>
      <w:bookmarkStart w:id="96" w:name="_Toc5858"/>
      <w:bookmarkStart w:id="97" w:name="_Toc127054592"/>
      <w:bookmarkStart w:id="98" w:name="_Toc5518"/>
      <w:bookmarkStart w:id="99" w:name="_Toc20924_WPSOffice_Level2"/>
      <w:r>
        <w:rPr>
          <w:rFonts w:hint="eastAsia"/>
          <w:color w:val="auto"/>
          <w:highlight w:val="none"/>
        </w:rPr>
        <w:t xml:space="preserve">（二）综合评价结论</w:t>
      </w:r>
      <w:bookmarkEnd w:id="90"/>
      <w:bookmarkEnd w:id="91"/>
      <w:bookmarkEnd w:id="92"/>
      <w:bookmarkEnd w:id="93"/>
      <w:bookmarkEnd w:id="94"/>
      <w:bookmarkEnd w:id="95"/>
      <w:bookmarkEnd w:id="96"/>
      <w:bookmarkEnd w:id="97"/>
      <w:bookmarkEnd w:id="98"/>
      <w:bookmarkEnd w:id="99"/>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本项目最终评分结果：总得分为</w:t>
      </w:r>
      <w:r>
        <w:rPr>
          <w:rFonts w:ascii="仿宋_GB2312" w:hAnsi="仿宋_GB2312" w:cs="仿宋_GB2312"/>
          <w:color w:val="auto"/>
          <w:highlight w:val="none"/>
        </w:rPr>
        <w:t xml:space="preserve">95.60</w:t>
      </w:r>
      <w:r>
        <w:rPr>
          <w:rFonts w:ascii="仿宋_GB2312" w:hAnsi="仿宋_GB2312" w:cs="仿宋_GB2312" w:hint="eastAsia"/>
          <w:color w:val="auto"/>
          <w:highlight w:val="none"/>
        </w:rPr>
        <w:t xml:space="preserve">分，绩效评级为“</w:t>
      </w:r>
      <w:r>
        <w:rPr>
          <w:rFonts w:ascii="仿宋_GB2312" w:hAnsi="仿宋_GB2312" w:cs="仿宋_GB2312" w:hint="eastAsia"/>
          <w:color w:val="auto"/>
          <w:highlight w:val="none"/>
        </w:rPr>
        <w:t xml:space="preserve">优</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具体得分情况如下:</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1.项目决策指标权重为20分，</w:t>
      </w:r>
      <w:r>
        <w:rPr>
          <w:rFonts w:ascii="仿宋_GB2312" w:hAnsi="仿宋_GB2312" w:cs="仿宋_GB2312" w:hint="eastAsia"/>
          <w:color w:val="auto"/>
          <w:highlight w:val="none"/>
        </w:rPr>
        <w:t xml:space="preserve">得分为</w:t>
      </w:r>
      <w:r>
        <w:rPr>
          <w:rFonts w:ascii="仿宋_GB2312" w:hAnsi="仿宋_GB2312" w:cs="仿宋_GB2312" w:hint="eastAsia"/>
          <w:color w:val="auto"/>
          <w:highlight w:val="none"/>
        </w:rPr>
        <w:t xml:space="preserve">20</w:t>
      </w:r>
      <w:r>
        <w:rPr>
          <w:rFonts w:ascii="仿宋_GB2312" w:hAnsi="仿宋_GB2312" w:cs="仿宋_GB2312" w:hint="eastAsia"/>
          <w:color w:val="auto"/>
          <w:highlight w:val="none"/>
        </w:rPr>
        <w:t xml:space="preserve">分，得分率为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2.项目过程指标权重为15分，</w:t>
      </w:r>
      <w:r>
        <w:rPr>
          <w:rFonts w:ascii="仿宋_GB2312" w:hAnsi="仿宋_GB2312" w:cs="仿宋_GB2312" w:hint="eastAsia"/>
          <w:color w:val="auto"/>
          <w:highlight w:val="none"/>
        </w:rPr>
        <w:t xml:space="preserve">得分为</w:t>
      </w:r>
      <w:r>
        <w:rPr>
          <w:rFonts w:ascii="仿宋_GB2312" w:hAnsi="仿宋_GB2312" w:cs="仿宋_GB2312"/>
          <w:color w:val="auto"/>
          <w:highlight w:val="none"/>
        </w:rPr>
        <w:t xml:space="preserve">14.93</w:t>
      </w:r>
      <w:r>
        <w:rPr>
          <w:rFonts w:ascii="仿宋_GB2312" w:hAnsi="仿宋_GB2312" w:cs="仿宋_GB2312" w:hint="eastAsia"/>
          <w:color w:val="auto"/>
          <w:highlight w:val="none"/>
        </w:rPr>
        <w:t xml:space="preserve">分，得分率为</w:t>
      </w:r>
      <w:r>
        <w:rPr>
          <w:rFonts w:ascii="仿宋_GB2312" w:hAnsi="仿宋_GB2312" w:cs="仿宋_GB2312"/>
          <w:color w:val="auto"/>
          <w:highlight w:val="none"/>
        </w:rPr>
        <w:t xml:space="preserve">99.53%</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3.项目产出指标权重为35分，</w:t>
      </w:r>
      <w:r>
        <w:rPr>
          <w:rFonts w:ascii="仿宋_GB2312" w:hAnsi="仿宋_GB2312" w:cs="仿宋_GB2312" w:hint="eastAsia"/>
          <w:color w:val="auto"/>
          <w:highlight w:val="none"/>
        </w:rPr>
        <w:t xml:space="preserve">得分为</w:t>
      </w:r>
      <w:r>
        <w:rPr>
          <w:rFonts w:ascii="仿宋_GB2312" w:hAnsi="仿宋_GB2312" w:cs="仿宋_GB2312"/>
          <w:color w:val="auto"/>
          <w:highlight w:val="none"/>
        </w:rPr>
        <w:t xml:space="preserve">30.67</w:t>
      </w:r>
      <w:r>
        <w:rPr>
          <w:rFonts w:ascii="仿宋_GB2312" w:hAnsi="仿宋_GB2312" w:cs="仿宋_GB2312" w:hint="eastAsia"/>
          <w:color w:val="auto"/>
          <w:highlight w:val="none"/>
        </w:rPr>
        <w:t xml:space="preserve">分，得分率为</w:t>
      </w:r>
      <w:r>
        <w:rPr>
          <w:rFonts w:ascii="仿宋_GB2312" w:hAnsi="仿宋_GB2312" w:cs="仿宋_GB2312"/>
          <w:color w:val="auto"/>
          <w:highlight w:val="none"/>
        </w:rPr>
        <w:t xml:space="preserve">87.63%</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4.项目效益指标权重为20分，得分为20分，得分率为100%。</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5.项目满意度指标权重为10分，得分为10分，得分率为100%。</w:t>
      </w:r>
      <w:r>
        <w:rPr>
          <w:rFonts w:ascii="仿宋_GB2312" w:hAnsi="仿宋_GB2312" w:cs="仿宋_GB2312" w:hint="eastAsia"/>
          <w:color w:val="auto"/>
          <w:highlight w:val="none"/>
        </w:rPr>
        <w:t xml:space="preserve">具体打分情况详见：附件1综合评分表。</w:t>
      </w:r>
    </w:p>
    <w:p>
      <w:pPr>
        <w:pStyle w:val="闻政-正文段落文字"/>
        <w:spacing w:line="200" w:lineRule="atLeast"/>
        <w:ind w:firstLine="562"/>
        <w:jc w:val="center"/>
        <w:rPr>
          <w:b/>
          <w:bCs/>
          <w:color w:val="auto"/>
          <w:highlight w:val="none"/>
        </w:rPr>
      </w:pPr>
      <w:bookmarkStart w:id="100" w:name="_Toc25446_WPSOffice_Level2"/>
      <w:bookmarkStart w:id="101" w:name="_Toc13636_WPSOffice_Level2"/>
      <w:bookmarkStart w:id="102" w:name="_Toc12641_WPSOffice_Level2"/>
      <w:r>
        <w:rPr>
          <w:rFonts w:hint="eastAsia"/>
          <w:b/>
          <w:bCs/>
          <w:color w:val="auto"/>
          <w:highlight w:val="none"/>
        </w:rPr>
        <w:t xml:space="preserve">项目绩效评价评分情况表</w:t>
      </w:r>
      <w:bookmarkEnd w:id="100"/>
      <w:bookmarkEnd w:id="101"/>
      <w:bookmarkEnd w:id="102"/>
    </w:p>
    <w:tbl>
      <w:tblPr>
        <w:tblStyle w:val="NormalTable"/>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65"/>
        <w:gridCol w:w="1275"/>
        <w:gridCol w:w="1335"/>
        <w:gridCol w:w="1292"/>
        <w:gridCol w:w="1291"/>
        <w:gridCol w:w="1569"/>
        <w:gridCol w:w="1009"/>
      </w:tblGrid>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45"/>
          <w:tblHeader/>
          <w:jc w:val="center"/>
        </w:trPr>
        <w:tc>
          <w:tcPr>
            <w:tcW w:w="865"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指 标</w:t>
            </w:r>
          </w:p>
        </w:tc>
        <w:tc>
          <w:tcPr>
            <w:tcW w:w="1275"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A.项目决策</w:t>
            </w:r>
          </w:p>
        </w:tc>
        <w:tc>
          <w:tcPr>
            <w:tcW w:w="1335"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B.项目过程</w:t>
            </w:r>
          </w:p>
        </w:tc>
        <w:tc>
          <w:tcPr>
            <w:tcW w:w="1292"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C.项目产出</w:t>
            </w:r>
          </w:p>
        </w:tc>
        <w:tc>
          <w:tcPr>
            <w:tcW w:w="1291"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D.项目效益</w:t>
            </w:r>
          </w:p>
        </w:tc>
        <w:tc>
          <w:tcPr>
            <w:tcW w:w="1569"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E.项目满意度</w:t>
            </w:r>
          </w:p>
        </w:tc>
        <w:tc>
          <w:tcPr>
            <w:tcW w:w="1009"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合  计</w:t>
            </w:r>
          </w:p>
        </w:tc>
      </w:tr>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90"/>
          <w:jc w:val="center"/>
        </w:trPr>
        <w:tc>
          <w:tcPr>
            <w:tcW w:w="865" w:type="dxa"/>
            <w:vAlign w:val="center"/>
          </w:tcPr>
          <w:p>
            <w:pPr>
              <w:pStyle w:val="闻政表"/>
              <w:spacing w:line="520" w:lineRule="exact"/>
              <w:ind w:firstLine="0" w:firstLineChars="0"/>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权 重</w:t>
            </w:r>
          </w:p>
        </w:tc>
        <w:tc>
          <w:tcPr>
            <w:tcW w:w="1275"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335"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15.00</w:t>
            </w:r>
          </w:p>
        </w:tc>
        <w:tc>
          <w:tcPr>
            <w:tcW w:w="1292"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35.00</w:t>
            </w:r>
          </w:p>
        </w:tc>
        <w:tc>
          <w:tcPr>
            <w:tcW w:w="1291"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569"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10.00</w:t>
            </w:r>
          </w:p>
        </w:tc>
        <w:tc>
          <w:tcPr>
            <w:tcW w:w="1009"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100.00</w:t>
            </w:r>
          </w:p>
        </w:tc>
      </w:tr>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5"/>
          <w:jc w:val="center"/>
        </w:trPr>
        <w:tc>
          <w:tcPr>
            <w:tcW w:w="865" w:type="dxa"/>
            <w:vAlign w:val="center"/>
          </w:tcPr>
          <w:p>
            <w:pPr>
              <w:pStyle w:val="闻政表"/>
              <w:spacing w:line="520" w:lineRule="exact"/>
              <w:ind w:firstLine="0" w:firstLineChars="0"/>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得 分</w:t>
            </w:r>
          </w:p>
        </w:tc>
        <w:tc>
          <w:tcPr>
            <w:tcW w:w="1275"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335" w:type="dxa"/>
            <w:vAlign w:val="center"/>
          </w:tcPr>
          <w:p>
            <w:pPr>
              <w:pStyle w:val="闻政表"/>
              <w:spacing w:line="520" w:lineRule="exact"/>
              <w:ind w:firstLine="420"/>
              <w:jc w:val="right"/>
              <w:rPr>
                <w:rFonts w:ascii="仿宋_GB2312" w:cs="Times New Roman" w:hint="eastAsia"/>
                <w:b w:val="0"/>
                <w:color w:val="auto"/>
                <w:sz w:val="21"/>
                <w:szCs w:val="21"/>
                <w:highlight w:val="none"/>
              </w:rPr>
            </w:pPr>
            <w:r>
              <w:rPr>
                <w:rFonts w:ascii="仿宋_GB2312" w:cs="Times New Roman" w:hint="eastAsia"/>
                <w:b w:val="0"/>
                <w:color w:val="auto"/>
                <w:sz w:val="21"/>
                <w:szCs w:val="21"/>
                <w:highlight w:val="none"/>
              </w:rPr>
              <w:t xml:space="preserve">14.93</w:t>
            </w:r>
          </w:p>
        </w:tc>
        <w:tc>
          <w:tcPr>
            <w:tcW w:w="1292" w:type="dxa"/>
            <w:vAlign w:val="center"/>
          </w:tcPr>
          <w:p>
            <w:pPr>
              <w:pStyle w:val="闻政表"/>
              <w:spacing w:line="520" w:lineRule="exact"/>
              <w:ind w:firstLine="420"/>
              <w:jc w:val="right"/>
              <w:rPr>
                <w:rFonts w:ascii="仿宋_GB2312" w:cs="Times New Roman"/>
                <w:b w:val="0"/>
                <w:color w:val="auto"/>
                <w:sz w:val="21"/>
                <w:szCs w:val="21"/>
                <w:highlight w:val="none"/>
              </w:rPr>
            </w:pPr>
            <w:r>
              <w:rPr>
                <w:rFonts w:ascii="仿宋_GB2312" w:cs="Times New Roman"/>
                <w:b w:val="0"/>
                <w:color w:val="auto"/>
                <w:sz w:val="21"/>
                <w:szCs w:val="21"/>
                <w:highlight w:val="none"/>
              </w:rPr>
              <w:t xml:space="preserve">30.67</w:t>
            </w:r>
          </w:p>
        </w:tc>
        <w:tc>
          <w:tcPr>
            <w:tcW w:w="1291"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569"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10.00</w:t>
            </w:r>
          </w:p>
        </w:tc>
        <w:tc>
          <w:tcPr>
            <w:tcW w:w="1009" w:type="dxa"/>
            <w:vAlign w:val="center"/>
          </w:tcPr>
          <w:p>
            <w:pPr>
              <w:pStyle w:val="闻政表"/>
              <w:spacing w:line="520" w:lineRule="exact"/>
              <w:ind w:firstLine="0" w:firstLineChars="0"/>
              <w:jc w:val="right"/>
              <w:rPr>
                <w:rFonts w:ascii="仿宋_GB2312" w:cs="Times New Roman" w:hint="eastAsia"/>
                <w:b w:val="0"/>
                <w:color w:val="auto"/>
                <w:sz w:val="21"/>
                <w:szCs w:val="21"/>
                <w:highlight w:val="none"/>
              </w:rPr>
            </w:pPr>
            <w:r>
              <w:rPr>
                <w:rFonts w:ascii="仿宋_GB2312" w:cs="Times New Roman" w:hint="eastAsia"/>
                <w:b w:val="0"/>
                <w:color w:val="auto"/>
                <w:sz w:val="21"/>
                <w:szCs w:val="21"/>
                <w:highlight w:val="none"/>
              </w:rPr>
              <w:t xml:space="preserve">95.60</w:t>
            </w:r>
          </w:p>
        </w:tc>
      </w:tr>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5"/>
          <w:jc w:val="center"/>
        </w:trPr>
        <w:tc>
          <w:tcPr>
            <w:tcW w:w="865" w:type="dxa"/>
            <w:vAlign w:val="center"/>
          </w:tcPr>
          <w:p>
            <w:pPr>
              <w:pStyle w:val="闻政表"/>
              <w:spacing w:line="520" w:lineRule="exact"/>
              <w:ind w:firstLine="0" w:firstLineChars="0"/>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得分率</w:t>
            </w:r>
          </w:p>
        </w:tc>
        <w:tc>
          <w:tcPr>
            <w:tcW w:w="1275"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335" w:type="dxa"/>
            <w:vAlign w:val="center"/>
          </w:tcPr>
          <w:p>
            <w:pPr>
              <w:pStyle w:val="闻政表"/>
              <w:spacing w:line="520" w:lineRule="exact"/>
              <w:ind w:firstLine="422"/>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99.53</w:t>
            </w:r>
            <w:r>
              <w:rPr>
                <w:rFonts w:ascii="仿宋_GB2312" w:cs="Times New Roman"/>
                <w:bCs/>
                <w:color w:val="auto"/>
                <w:sz w:val="21"/>
                <w:szCs w:val="21"/>
                <w:highlight w:val="none"/>
              </w:rPr>
              <w:t xml:space="preserve">%</w:t>
            </w:r>
          </w:p>
        </w:tc>
        <w:tc>
          <w:tcPr>
            <w:tcW w:w="1292" w:type="dxa"/>
            <w:vAlign w:val="center"/>
          </w:tcPr>
          <w:p>
            <w:pPr>
              <w:pStyle w:val="闻政表"/>
              <w:spacing w:line="520" w:lineRule="exact"/>
              <w:ind w:firstLine="422"/>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87.63</w:t>
            </w:r>
            <w:r>
              <w:rPr>
                <w:rFonts w:ascii="仿宋_GB2312" w:cs="Times New Roman"/>
                <w:bCs/>
                <w:color w:val="auto"/>
                <w:sz w:val="21"/>
                <w:szCs w:val="21"/>
                <w:highlight w:val="none"/>
              </w:rPr>
              <w:t xml:space="preserve">%</w:t>
            </w:r>
          </w:p>
        </w:tc>
        <w:tc>
          <w:tcPr>
            <w:tcW w:w="1291"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569"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009"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95.60%</w:t>
            </w:r>
          </w:p>
        </w:tc>
      </w:tr>
    </w:tbl>
    <w:p>
      <w:pPr>
        <w:pStyle w:val="闻政-正文一级标题"/>
        <w:keepNext w:val="0"/>
        <w:keepLines w:val="0"/>
        <w:spacing w:line="520" w:lineRule="exact"/>
        <w:ind w:firstLine="640" w:firstLineChars="200"/>
        <w:jc w:val="both"/>
        <w:rPr>
          <w:rFonts w:hint="eastAsia"/>
          <w:color w:val="auto"/>
          <w:highlight w:val="none"/>
        </w:rPr>
      </w:pPr>
      <w:bookmarkStart w:id="103" w:name="_Toc10259_WPSOffice_Level1"/>
      <w:bookmarkStart w:id="104" w:name="_Toc27609"/>
      <w:bookmarkStart w:id="105" w:name="_Toc14202_WPSOffice_Level1"/>
      <w:bookmarkStart w:id="106" w:name="_Toc127054593"/>
      <w:bookmarkStart w:id="107" w:name="_Toc31634"/>
      <w:bookmarkStart w:id="108" w:name="_Toc17696_WPSOffice_Level1"/>
      <w:bookmarkStart w:id="109" w:name="_Toc23593"/>
      <w:bookmarkStart w:id="110" w:name="_Toc4090"/>
      <w:bookmarkStart w:id="111" w:name="_Toc21991"/>
      <w:bookmarkStart w:id="112" w:name="_Toc19284"/>
      <w:r>
        <w:rPr>
          <w:rFonts w:hint="eastAsia"/>
          <w:color w:val="auto"/>
          <w:highlight w:val="none"/>
        </w:rPr>
        <w:t xml:space="preserve">四、绩效评价指标分析</w:t>
      </w:r>
      <w:bookmarkEnd w:id="103"/>
      <w:bookmarkEnd w:id="104"/>
      <w:bookmarkEnd w:id="105"/>
      <w:bookmarkEnd w:id="106"/>
      <w:bookmarkEnd w:id="107"/>
      <w:bookmarkEnd w:id="108"/>
      <w:bookmarkEnd w:id="109"/>
      <w:bookmarkEnd w:id="110"/>
      <w:bookmarkEnd w:id="111"/>
      <w:bookmarkEnd w:id="112"/>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13" w:name="_Toc1351"/>
      <w:bookmarkStart w:id="114" w:name="_Toc23212"/>
      <w:bookmarkStart w:id="115" w:name="_Toc13717_WPSOffice_Level2"/>
      <w:bookmarkStart w:id="116" w:name="_Toc15622"/>
      <w:bookmarkStart w:id="117" w:name="_Toc127054594"/>
      <w:bookmarkStart w:id="118" w:name="_Toc30064_WPSOffice_Level2"/>
      <w:bookmarkStart w:id="119" w:name="_Toc24898"/>
      <w:bookmarkStart w:id="120" w:name="_Toc12537"/>
      <w:bookmarkStart w:id="121" w:name="_Toc23471_WPSOffice_Level2"/>
      <w:bookmarkStart w:id="122" w:name="_Toc17002"/>
      <w:r>
        <w:rPr>
          <w:rFonts w:ascii="仿宋_GB2312" w:hAnsi="仿宋_GB2312" w:cs="仿宋_GB2312" w:hint="eastAsia"/>
          <w:color w:val="auto"/>
          <w:highlight w:val="none"/>
        </w:rPr>
        <w:t xml:space="preserve">（一）项目决策情况</w:t>
      </w:r>
      <w:bookmarkEnd w:id="113"/>
      <w:bookmarkEnd w:id="114"/>
      <w:bookmarkEnd w:id="115"/>
      <w:bookmarkEnd w:id="116"/>
      <w:bookmarkEnd w:id="117"/>
      <w:bookmarkEnd w:id="118"/>
      <w:bookmarkEnd w:id="119"/>
      <w:bookmarkEnd w:id="120"/>
      <w:bookmarkEnd w:id="121"/>
      <w:bookmarkEnd w:id="122"/>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决策类指标包括项目立项、绩效目标和资金投入三方面的内容，由6个三级指标构成，权重分值为20分，</w:t>
      </w:r>
      <w:r>
        <w:rPr>
          <w:rFonts w:ascii="仿宋_GB2312" w:hAnsi="仿宋_GB2312" w:cs="仿宋_GB2312" w:hint="eastAsia"/>
          <w:color w:val="auto"/>
          <w:highlight w:val="none"/>
        </w:rPr>
        <w:t xml:space="preserve">实际得分20分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得分率为100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bookmarkStart w:id="123" w:name="_Toc25023_WPSOffice_Level2"/>
      <w:r>
        <w:rPr>
          <w:rFonts w:ascii="仿宋_GB2312" w:hAnsi="仿宋_GB2312" w:cs="仿宋_GB2312" w:hint="eastAsia"/>
          <w:b/>
          <w:bCs/>
          <w:color w:val="auto"/>
          <w:highlight w:val="none"/>
        </w:rPr>
        <w:t xml:space="preserve">1.项目立项</w:t>
      </w:r>
      <w:bookmarkEnd w:id="123"/>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项目立项指标从立项依据充分性、立项程序规范性2个方面进行评价，权重分值8分，</w:t>
      </w:r>
      <w:r>
        <w:rPr>
          <w:rFonts w:ascii="仿宋_GB2312" w:hAnsi="仿宋_GB2312" w:cs="仿宋_GB2312" w:hint="eastAsia"/>
          <w:color w:val="auto"/>
          <w:highlight w:val="none"/>
        </w:rPr>
        <w:t xml:space="preserve">实际得分8分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（1）立项依据充分性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该项目立项符合国家相关法律法规及发展政策，符合行业规划要求，</w:t>
      </w:r>
      <w:r>
        <w:rPr>
          <w:rFonts w:ascii="仿宋_GB2312" w:hAnsi="仿宋_GB2312" w:cs="仿宋_GB2312" w:hint="eastAsia"/>
          <w:color w:val="auto"/>
          <w:highlight w:val="none"/>
        </w:rPr>
        <w:t xml:space="preserve">根据</w:t>
      </w:r>
      <w:r>
        <w:rPr>
          <w:rFonts w:ascii="仿宋_GB2312" w:hAnsi="仿宋_GB2312" w:cs="仿宋_GB2312" w:hint="eastAsia"/>
          <w:color w:val="auto"/>
          <w:highlight w:val="none"/>
        </w:rPr>
        <w:t xml:space="preserve">《关于提前下达2024年城乡义务教育补助经费预算（中央直达资金）的通知》喀地财教〔2023〕78号、《关于提前下达2024年城乡义务教育补助经费预算（自治区直达资金）的通知》喀地财教〔2023〕85号、《关于下达2024年城乡义务教育补助经费（第二批）中央直达资金的通知》喀地财教〔2024〕27号、岳财预〔2024〕1号</w:t>
      </w:r>
      <w:r>
        <w:rPr>
          <w:rFonts w:ascii="仿宋_GB2312" w:hAnsi="仿宋_GB2312" w:cs="仿宋_GB2312" w:hint="eastAsia"/>
          <w:color w:val="auto"/>
          <w:highlight w:val="none"/>
        </w:rPr>
        <w:t xml:space="preserve">立项依据，</w:t>
      </w:r>
      <w:r>
        <w:rPr>
          <w:rFonts w:ascii="仿宋_GB2312" w:hAnsi="仿宋_GB2312" w:cs="仿宋_GB2312" w:hint="eastAsia"/>
          <w:color w:val="auto"/>
          <w:highlight w:val="none"/>
        </w:rPr>
        <w:t xml:space="preserve">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w:t>
      </w:r>
      <w:r>
        <w:rPr>
          <w:rFonts w:ascii="仿宋_GB2312" w:hAnsi="仿宋_GB2312" w:cs="仿宋_GB2312" w:hint="eastAsia"/>
          <w:color w:val="auto"/>
          <w:highlight w:val="none"/>
        </w:rPr>
        <w:t xml:space="preserve">实际得分5分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（2）立项程序规范性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bookmarkStart w:id="124" w:name="_Toc20733_WPSOffice_Level2"/>
      <w:r>
        <w:rPr>
          <w:rFonts w:ascii="仿宋_GB2312" w:hAnsi="仿宋_GB2312" w:cs="仿宋_GB2312" w:hint="eastAsia"/>
          <w:b/>
          <w:bCs/>
          <w:color w:val="auto"/>
          <w:highlight w:val="none"/>
        </w:rPr>
        <w:t xml:space="preserve">2.绩效目标</w:t>
      </w:r>
      <w:bookmarkEnd w:id="124"/>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绩效目标指标从绩效目标合理性、绩效指标明确性2个方面进行评价，权重分值5分，</w:t>
      </w:r>
      <w:r>
        <w:rPr>
          <w:rFonts w:ascii="仿宋_GB2312" w:hAnsi="仿宋_GB2312" w:cs="仿宋_GB2312" w:hint="eastAsia"/>
          <w:color w:val="auto"/>
          <w:highlight w:val="none"/>
        </w:rPr>
        <w:t xml:space="preserve">实际得分5分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（1）绩效目标合理性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制定了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城乡义务教育补助经费项目（家庭经济困难学生生活补助）</w:t>
      </w:r>
      <w:r>
        <w:rPr>
          <w:rFonts w:ascii="仿宋_GB2312" w:hAnsi="仿宋_GB2312" w:cs="仿宋_GB2312" w:hint="eastAsia"/>
          <w:color w:val="auto"/>
          <w:highlight w:val="none"/>
        </w:rPr>
        <w:t xml:space="preserve">实施方案》</w:t>
      </w:r>
      <w:r>
        <w:rPr>
          <w:rFonts w:ascii="仿宋_GB2312" w:hAnsi="仿宋_GB2312" w:cs="仿宋_GB2312" w:hint="eastAsia"/>
          <w:color w:val="auto"/>
          <w:highlight w:val="none"/>
        </w:rPr>
        <w:t xml:space="preserve">，明确了总体思路及目标。绩效目标表经过审核，绩效目标与实际工作内容具有相关性，预算与确定的项目投资额相匹配，对项目任务进行了详细分解。项目预期产出效益及效果符合正常的业绩水平。根据评价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（2）绩效指标明确性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项目设置了明确的预期产出效益和效果，将绩效目标细化分解为具体的绩效指标，项目的三级指标设置与项目目标任务数相对应，绩效目标设定的绩效指标清晰、细化、可衡量。根据评价标准，该指标不扣分，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bookmarkStart w:id="125" w:name="_Toc32610_WPSOffice_Level2"/>
      <w:r>
        <w:rPr>
          <w:rFonts w:ascii="仿宋_GB2312" w:hAnsi="仿宋_GB2312" w:cs="仿宋_GB2312" w:hint="eastAsia"/>
          <w:b/>
          <w:bCs/>
          <w:color w:val="auto"/>
          <w:highlight w:val="none"/>
        </w:rPr>
        <w:t xml:space="preserve">3.资金投入</w:t>
      </w:r>
      <w:bookmarkEnd w:id="12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资金投入指标从预算编制科学性、资金分配合理性2个方面进行评价，权重分值7分，</w:t>
      </w:r>
      <w:r>
        <w:rPr>
          <w:rFonts w:ascii="仿宋_GB2312" w:hAnsi="仿宋_GB2312" w:cs="仿宋_GB2312" w:hint="eastAsia"/>
          <w:color w:val="auto"/>
          <w:highlight w:val="none"/>
        </w:rPr>
        <w:t xml:space="preserve">实际得分7分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（1）预算编制科学性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项目为</w:t>
      </w:r>
      <w:r>
        <w:rPr>
          <w:rFonts w:ascii="仿宋_GB2312" w:hAnsi="仿宋_GB2312" w:cs="仿宋_GB2312" w:hint="eastAsia"/>
          <w:color w:val="auto"/>
          <w:highlight w:val="none"/>
        </w:rPr>
        <w:t xml:space="preserve">年初预算</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根据项目需求编制，预算编制与单位职能相匹配，预算编制经过科学论证，提供充分的测算依据佐证资料，编制准确可靠的数据和信息。确保预算内容与项目内容相匹配。项目投资额</w:t>
      </w:r>
      <w:r>
        <w:rPr>
          <w:rFonts w:ascii="仿宋_GB2312" w:hAnsi="仿宋_GB2312" w:cs="仿宋_GB2312" w:hint="eastAsia"/>
          <w:color w:val="auto"/>
          <w:highlight w:val="none"/>
        </w:rPr>
        <w:t xml:space="preserve">为</w:t>
      </w:r>
      <w:r>
        <w:rPr>
          <w:rFonts w:ascii="仿宋_GB2312" w:hAnsi="仿宋_GB2312" w:cs="仿宋_GB2312"/>
          <w:color w:val="auto"/>
          <w:highlight w:val="none"/>
        </w:rPr>
        <w:t xml:space="preserve">3132.76</w:t>
      </w:r>
      <w:r>
        <w:rPr>
          <w:rFonts w:ascii="仿宋_GB2312" w:hAnsi="仿宋_GB2312" w:cs="仿宋_GB2312" w:hint="eastAsia"/>
          <w:color w:val="auto"/>
          <w:highlight w:val="none"/>
        </w:rPr>
        <w:t xml:space="preserve">万元，主要用于岳普湖县学校困难学生生活补助当年度保障任务（困难学生伙食补助）。</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项目投资额与工作任务相匹配。预算编制的程序规范、透明，确保预算的公正性和公平性。根据评价标准，该指标不扣分，</w:t>
      </w:r>
      <w:r>
        <w:rPr>
          <w:rFonts w:ascii="仿宋_GB2312" w:hAnsi="仿宋_GB2312" w:cs="仿宋_GB2312" w:hint="eastAsia"/>
          <w:color w:val="auto"/>
          <w:highlight w:val="none"/>
        </w:rPr>
        <w:t xml:space="preserve">实际得分5分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（2）资金分配合理性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资金分配时，优先满足关键任务的资金需求，确保项目按照计划和时间表进行。</w:t>
      </w:r>
      <w:r>
        <w:rPr>
          <w:rFonts w:ascii="仿宋_GB2312" w:hAnsi="仿宋_GB2312" w:cs="仿宋_GB2312" w:hint="eastAsia"/>
          <w:color w:val="auto"/>
          <w:highlight w:val="none"/>
        </w:rPr>
        <w:t xml:space="preserve">资金分配情况：困难学生生活补助预算控制数3132.76万元，困难学生生活补助补贴人数18742人，困难学生生活补助人均预算控制数1671.5185元/人</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资金分配额度与项目单位实际工作内容相适应，资金分配额度合理，资金分配依据充分。根据评价标准，该指标不扣分，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26" w:name="_Toc804"/>
      <w:bookmarkStart w:id="127" w:name="_Toc30315"/>
      <w:bookmarkStart w:id="128" w:name="_Toc30208"/>
      <w:bookmarkStart w:id="129" w:name="_Toc127054595"/>
      <w:bookmarkStart w:id="130" w:name="_Toc4615_WPSOffice_Level2"/>
      <w:bookmarkStart w:id="131" w:name="_Toc18592"/>
      <w:bookmarkStart w:id="132" w:name="_Toc22525_WPSOffice_Level2"/>
      <w:bookmarkStart w:id="133" w:name="_Toc15035_WPSOffice_Level2"/>
      <w:bookmarkStart w:id="134" w:name="_Toc21518"/>
      <w:bookmarkStart w:id="135" w:name="_Toc18771"/>
      <w:r>
        <w:rPr>
          <w:rFonts w:ascii="仿宋_GB2312" w:hAnsi="仿宋_GB2312" w:cs="仿宋_GB2312" w:hint="eastAsia"/>
          <w:color w:val="auto"/>
          <w:highlight w:val="none"/>
        </w:rPr>
        <w:t xml:space="preserve">（二）项目过程情况</w:t>
      </w:r>
      <w:bookmarkEnd w:id="126"/>
      <w:bookmarkEnd w:id="127"/>
      <w:bookmarkEnd w:id="128"/>
      <w:bookmarkEnd w:id="129"/>
      <w:bookmarkEnd w:id="130"/>
      <w:bookmarkEnd w:id="131"/>
      <w:bookmarkEnd w:id="132"/>
      <w:bookmarkEnd w:id="133"/>
      <w:bookmarkEnd w:id="134"/>
      <w:bookmarkEnd w:id="13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过程类指标包括资金管理和组织实施两方面的内容，由6个三级指标构成，权重分值为15分，</w:t>
      </w:r>
      <w:r>
        <w:rPr>
          <w:rFonts w:ascii="仿宋_GB2312" w:hAnsi="仿宋_GB2312" w:cs="仿宋_GB2312" w:hint="eastAsia"/>
          <w:color w:val="auto"/>
          <w:highlight w:val="none"/>
        </w:rPr>
        <w:t xml:space="preserve">实际得分14.93分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得分率为99.53%</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1.资金管理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资金管理指标从资金到位率、预算执行率、资金使用合规性3个方面进行评价，权重分值8分，</w:t>
      </w:r>
      <w:r>
        <w:rPr>
          <w:rFonts w:ascii="仿宋_GB2312" w:hAnsi="仿宋_GB2312" w:cs="仿宋_GB2312" w:hint="eastAsia"/>
          <w:color w:val="auto"/>
          <w:highlight w:val="none"/>
        </w:rPr>
        <w:t xml:space="preserve">实际得分7.93分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（1）资金到位率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财政资金及时足额到位，牵头单位能够及时足额按照合同约定将专项资金拨付给联合体单位，</w:t>
      </w:r>
      <w:r>
        <w:rPr>
          <w:rFonts w:ascii="仿宋_GB2312" w:hAnsi="仿宋_GB2312" w:cs="仿宋_GB2312" w:hint="eastAsia"/>
          <w:color w:val="auto"/>
          <w:highlight w:val="none"/>
        </w:rPr>
        <w:t xml:space="preserve">资金到位率为100%</w:t>
      </w:r>
      <w:r>
        <w:rPr>
          <w:rFonts w:ascii="仿宋_GB2312" w:hAnsi="仿宋_GB2312" w:cs="仿宋_GB2312" w:hint="eastAsia"/>
          <w:color w:val="auto"/>
          <w:highlight w:val="none"/>
        </w:rPr>
        <w:t xml:space="preserve">。预算资金按计划进度执行。根据评分标准，该指标不扣分，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（2）预算执行率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预算编制较为详细，项目资金支出总体能够按照预算执行，</w:t>
      </w:r>
      <w:r>
        <w:rPr>
          <w:rFonts w:ascii="仿宋_GB2312" w:hAnsi="仿宋_GB2312" w:cs="仿宋_GB2312" w:hint="eastAsia"/>
          <w:color w:val="auto"/>
          <w:highlight w:val="none"/>
        </w:rPr>
        <w:t xml:space="preserve">预算执行率为97.5%</w:t>
      </w:r>
      <w:r>
        <w:rPr>
          <w:rFonts w:ascii="仿宋_GB2312" w:hAnsi="仿宋_GB2312" w:cs="仿宋_GB2312" w:hint="eastAsia"/>
          <w:color w:val="auto"/>
          <w:highlight w:val="none"/>
        </w:rPr>
        <w:t xml:space="preserve">。根据评分标准，该指标扣0.07分，</w:t>
      </w:r>
      <w:r>
        <w:rPr>
          <w:rFonts w:ascii="仿宋_GB2312" w:hAnsi="仿宋_GB2312" w:cs="仿宋_GB2312" w:hint="eastAsia"/>
          <w:color w:val="auto"/>
          <w:highlight w:val="none"/>
        </w:rPr>
        <w:t xml:space="preserve">实际得分2.93分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（3）资金使用合规性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2.组织实施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组织实施指标从管理制度健全性、制度执行有效性、项目实施管理规范性3个方面进行评价，权重分值7分，</w:t>
      </w:r>
      <w:r>
        <w:rPr>
          <w:rFonts w:ascii="仿宋_GB2312" w:hAnsi="仿宋_GB2312" w:cs="仿宋_GB2312" w:hint="eastAsia"/>
          <w:color w:val="auto"/>
          <w:highlight w:val="none"/>
        </w:rPr>
        <w:t xml:space="preserve">实际得分7分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（1）管理制度健全性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制定了《</w:t>
      </w:r>
      <w:r>
        <w:rPr>
          <w:rFonts w:ascii="仿宋_GB2312" w:hAnsi="仿宋_GB2312" w:cs="仿宋_GB2312" w:hint="eastAsia"/>
          <w:color w:val="auto"/>
          <w:highlight w:val="none"/>
        </w:rPr>
        <w:t xml:space="preserve">岳普湖县教育局</w:t>
      </w:r>
      <w:r>
        <w:rPr>
          <w:rFonts w:ascii="仿宋_GB2312" w:hAnsi="仿宋_GB2312" w:cs="仿宋_GB2312" w:hint="eastAsia"/>
          <w:color w:val="auto"/>
          <w:highlight w:val="none"/>
        </w:rPr>
        <w:t xml:space="preserve">项目经费管理办法》等相关管理办法，对财政资金进行严格管理，做到专款专用。项目的执行符合《</w:t>
      </w:r>
      <w:r>
        <w:rPr>
          <w:rFonts w:ascii="仿宋_GB2312" w:hAnsi="仿宋_GB2312" w:cs="仿宋_GB2312" w:hint="eastAsia"/>
          <w:color w:val="auto"/>
          <w:highlight w:val="none"/>
        </w:rPr>
        <w:t xml:space="preserve">岳普湖县教育局</w:t>
      </w:r>
      <w:r>
        <w:rPr>
          <w:rFonts w:ascii="仿宋_GB2312" w:hAnsi="仿宋_GB2312" w:cs="仿宋_GB2312" w:hint="eastAsia"/>
          <w:color w:val="auto"/>
          <w:highlight w:val="none"/>
        </w:rPr>
        <w:t xml:space="preserve">项目管理办法》等相关法律法规和管理规定。根据评分标准，该指标不扣分，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（2）制度执行有效性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（3）项目实施管理规范性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①承接主体项目管理制度健全，项目实施符合相关项目管理规定；</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②建立了实施领导机制并建立了完善的实施方案；</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③建立了项目台账，台账记录全面、完整；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④能接受和配合相关部门的监督检查及绩效评价。</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根据评分标准，该指标不扣分，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36" w:name="_Toc10055_WPSOffice_Level2"/>
      <w:bookmarkStart w:id="137" w:name="_Toc3716"/>
      <w:bookmarkStart w:id="138" w:name="_Toc19500"/>
      <w:bookmarkStart w:id="139" w:name="_Toc12847"/>
      <w:bookmarkStart w:id="140" w:name="_Toc127054596"/>
      <w:bookmarkStart w:id="141" w:name="_Toc28623"/>
      <w:bookmarkStart w:id="142" w:name="_Toc15778_WPSOffice_Level2"/>
      <w:bookmarkStart w:id="143" w:name="_Toc28910"/>
      <w:bookmarkStart w:id="144" w:name="_Toc13773_WPSOffice_Level2"/>
      <w:bookmarkStart w:id="145" w:name="_Toc10585"/>
      <w:r>
        <w:rPr>
          <w:rFonts w:ascii="仿宋_GB2312" w:hAnsi="仿宋_GB2312" w:cs="仿宋_GB2312" w:hint="eastAsia"/>
          <w:color w:val="auto"/>
          <w:highlight w:val="none"/>
        </w:rPr>
        <w:t xml:space="preserve">（三）项目产出情况</w:t>
      </w:r>
      <w:bookmarkEnd w:id="136"/>
      <w:bookmarkEnd w:id="137"/>
      <w:bookmarkEnd w:id="138"/>
      <w:bookmarkEnd w:id="139"/>
      <w:bookmarkEnd w:id="140"/>
      <w:bookmarkEnd w:id="141"/>
      <w:bookmarkEnd w:id="142"/>
      <w:bookmarkEnd w:id="143"/>
      <w:bookmarkEnd w:id="144"/>
      <w:bookmarkEnd w:id="14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产出类指标包括产出数量、产出质量、产出时效、产出成本四方面的内容，由</w:t>
      </w:r>
      <w:r>
        <w:rPr>
          <w:rFonts w:ascii="仿宋_GB2312" w:hAnsi="仿宋_GB2312" w:cs="仿宋_GB2312" w:hint="eastAsia"/>
          <w:color w:val="auto"/>
          <w:highlight w:val="none"/>
        </w:rPr>
        <w:t xml:space="preserve">6个三级指标构成</w:t>
      </w:r>
      <w:r>
        <w:rPr>
          <w:rFonts w:ascii="仿宋_GB2312" w:hAnsi="仿宋_GB2312" w:cs="仿宋_GB2312" w:hint="eastAsia"/>
          <w:color w:val="auto"/>
          <w:highlight w:val="none"/>
        </w:rPr>
        <w:t xml:space="preserve">，权重分为35分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实际得分30.67分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得分率为87.63</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1.产出数量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困难学生生活补助补贴人数</w:t>
      </w:r>
      <w:r>
        <w:rPr>
          <w:rFonts w:ascii="仿宋_GB2312" w:hAnsi="仿宋_GB2312" w:cs="仿宋_GB2312" w:hint="eastAsia"/>
          <w:color w:val="auto"/>
          <w:highlight w:val="none"/>
        </w:rPr>
        <w:t xml:space="preserve">年度指标值为大于</w:t>
      </w:r>
      <w:r>
        <w:rPr>
          <w:rFonts w:ascii="仿宋_GB2312" w:hAnsi="仿宋_GB2312" w:cs="仿宋_GB2312" w:hint="eastAsia"/>
          <w:color w:val="auto"/>
          <w:highlight w:val="none"/>
        </w:rPr>
        <w:t xml:space="preserve">等于18742人</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18742人</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产出数量</w:t>
      </w:r>
      <w:r>
        <w:rPr>
          <w:rFonts w:ascii="仿宋_GB2312" w:hAnsi="仿宋_GB2312" w:cs="仿宋_GB2312" w:hint="eastAsia"/>
          <w:color w:val="auto"/>
          <w:highlight w:val="none"/>
        </w:rPr>
        <w:t xml:space="preserve">三级指标共计1个</w:t>
      </w:r>
      <w:r>
        <w:rPr>
          <w:rFonts w:ascii="仿宋_GB2312" w:hAnsi="仿宋_GB2312" w:cs="仿宋_GB2312" w:hint="eastAsia"/>
          <w:color w:val="auto"/>
          <w:highlight w:val="none"/>
        </w:rPr>
        <w:t xml:space="preserve">，指标从实际完成情况方面进行评价，权重分值9分，</w:t>
      </w:r>
      <w:r>
        <w:rPr>
          <w:rFonts w:ascii="仿宋_GB2312" w:hAnsi="仿宋_GB2312" w:cs="仿宋_GB2312" w:hint="eastAsia"/>
          <w:color w:val="auto"/>
          <w:highlight w:val="none"/>
        </w:rPr>
        <w:t xml:space="preserve">实际得分9分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2.产出质量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享受免费教科书政策的学生比例</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等于100%</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家庭经济困难学生享受生活补助政策比例</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等于100%</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产出质量</w:t>
      </w:r>
      <w:r>
        <w:rPr>
          <w:rFonts w:ascii="仿宋_GB2312" w:hAnsi="仿宋_GB2312" w:cs="仿宋_GB2312" w:hint="eastAsia"/>
          <w:color w:val="auto"/>
          <w:highlight w:val="none"/>
        </w:rPr>
        <w:t xml:space="preserve">三级指标共计2个</w:t>
      </w:r>
      <w:r>
        <w:rPr>
          <w:rFonts w:ascii="仿宋_GB2312" w:hAnsi="仿宋_GB2312" w:cs="仿宋_GB2312" w:hint="eastAsia"/>
          <w:color w:val="auto"/>
          <w:highlight w:val="none"/>
        </w:rPr>
        <w:t xml:space="preserve">，指标从质量达标方面进行评价，权重分值9分，</w:t>
      </w:r>
      <w:r>
        <w:rPr>
          <w:rFonts w:ascii="仿宋_GB2312" w:hAnsi="仿宋_GB2312" w:cs="仿宋_GB2312" w:hint="eastAsia"/>
          <w:color w:val="auto"/>
          <w:highlight w:val="none"/>
        </w:rPr>
        <w:t xml:space="preserve">实际得分9分。</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3.产出时效</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项目完成及时率</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等于100%</w:t>
      </w:r>
      <w:r>
        <w:rPr>
          <w:rFonts w:ascii="仿宋_GB2312" w:hAnsi="仿宋_GB2312" w:cs="仿宋_GB2312" w:hint="eastAsia"/>
          <w:color w:val="auto"/>
          <w:highlight w:val="none"/>
        </w:rPr>
        <w:t xml:space="preserve">，实际完成值为</w:t>
      </w:r>
      <w:r>
        <w:rPr>
          <w:rFonts w:ascii="仿宋_GB2312" w:hAnsi="仿宋_GB2312" w:cs="仿宋_GB2312"/>
          <w:color w:val="auto"/>
          <w:highlight w:val="none"/>
        </w:rPr>
        <w:t xml:space="preserve">97.48</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，未完成预期目标，根据评分标准，</w:t>
      </w:r>
      <w:r>
        <w:rPr>
          <w:rFonts w:ascii="仿宋_GB2312" w:hAnsi="仿宋_GB2312" w:cs="仿宋_GB2312" w:hint="eastAsia"/>
          <w:color w:val="auto"/>
          <w:highlight w:val="none"/>
        </w:rPr>
        <w:t xml:space="preserve">该指标扣0.10分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未完成原因：当年度支付任务已完成，12月份困难学生生活补助资金支付任务到次年对账完毕后才能支付，导致困难学生生活补助资金当年未全额支出，剩余资金结转下一年继续使用。</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采取的措施：做好后续资金审批资料准备工作，按时支付剩余项目资金。</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资金支付完成时间</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2024年12月30日前</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0%，</w:t>
      </w:r>
      <w:r>
        <w:rPr>
          <w:rFonts w:ascii="仿宋_GB2312" w:hAnsi="仿宋_GB2312" w:cs="仿宋_GB2312" w:hint="eastAsia"/>
          <w:color w:val="auto"/>
          <w:highlight w:val="none"/>
        </w:rPr>
        <w:t xml:space="preserve">未完成预期目标，根据评分标准，</w:t>
      </w:r>
      <w:r>
        <w:rPr>
          <w:rFonts w:ascii="仿宋_GB2312" w:hAnsi="仿宋_GB2312" w:cs="仿宋_GB2312" w:hint="eastAsia"/>
          <w:color w:val="auto"/>
          <w:highlight w:val="none"/>
        </w:rPr>
        <w:t xml:space="preserve">该指标扣4分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未完成原因：当年度支付任务已完成，12月份困难学生生活补助资金支付任务到次年对账完毕后才能支付，导致困难学生生活补助资金当年未全额支出，剩余资金结转下一年继续使用。</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采取的措施：做好后续资金审批资料准备工作，按时支付剩余项目资金。</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产出时效</w:t>
      </w:r>
      <w:r>
        <w:rPr>
          <w:rFonts w:ascii="仿宋_GB2312" w:hAnsi="仿宋_GB2312" w:cs="仿宋_GB2312" w:hint="eastAsia"/>
          <w:color w:val="auto"/>
          <w:highlight w:val="none"/>
        </w:rPr>
        <w:t xml:space="preserve">三级指标共计2个</w:t>
      </w:r>
      <w:r>
        <w:rPr>
          <w:rFonts w:ascii="仿宋_GB2312" w:hAnsi="仿宋_GB2312" w:cs="仿宋_GB2312" w:hint="eastAsia"/>
          <w:color w:val="auto"/>
          <w:highlight w:val="none"/>
        </w:rPr>
        <w:t xml:space="preserve">，指标从完成及时性方面进行评价，权重分值8分，</w:t>
      </w:r>
      <w:r>
        <w:rPr>
          <w:rFonts w:ascii="仿宋_GB2312" w:hAnsi="仿宋_GB2312" w:cs="仿宋_GB2312" w:hint="eastAsia"/>
          <w:color w:val="auto"/>
          <w:highlight w:val="none"/>
        </w:rPr>
        <w:t xml:space="preserve">实际得分3.90分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b/>
          <w:bCs/>
          <w:color w:val="auto"/>
          <w:highlight w:val="none"/>
        </w:rPr>
      </w:pPr>
      <w:bookmarkStart w:id="146" w:name="_Toc25428"/>
      <w:bookmarkStart w:id="147" w:name="_Toc17557"/>
      <w:bookmarkStart w:id="148" w:name="_Toc21869"/>
      <w:bookmarkStart w:id="149" w:name="_Toc32262_WPSOffice_Level2"/>
      <w:bookmarkStart w:id="150" w:name="_Toc26374_WPSOffice_Level2"/>
      <w:bookmarkStart w:id="151" w:name="_Toc646"/>
      <w:bookmarkStart w:id="152" w:name="_Toc20923_WPSOffice_Level2"/>
      <w:bookmarkStart w:id="153" w:name="_Toc4222"/>
      <w:bookmarkStart w:id="154" w:name="_Toc1244"/>
      <w:bookmarkStart w:id="155" w:name="_Toc127054597"/>
      <w:r>
        <w:rPr>
          <w:rFonts w:ascii="仿宋_GB2312" w:hAnsi="仿宋_GB2312" w:cs="仿宋_GB2312" w:hint="eastAsia"/>
          <w:color w:val="auto"/>
          <w:highlight w:val="none"/>
        </w:rPr>
        <w:t xml:space="preserve">4</w:t>
      </w:r>
      <w:r>
        <w:rPr>
          <w:rFonts w:ascii="仿宋_GB2312" w:hAnsi="仿宋_GB2312" w:cs="仿宋_GB2312" w:hint="eastAsia"/>
          <w:b/>
          <w:bCs/>
          <w:color w:val="auto"/>
          <w:highlight w:val="none"/>
        </w:rPr>
        <w:t xml:space="preserve">.产出成本</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困难学生生活补助人均预算控制数</w:t>
      </w:r>
      <w:r>
        <w:rPr>
          <w:rFonts w:ascii="仿宋_GB2312" w:hAnsi="仿宋_GB2312" w:cs="仿宋_GB2312" w:hint="eastAsia"/>
          <w:color w:val="auto"/>
          <w:highlight w:val="none"/>
        </w:rPr>
        <w:t xml:space="preserve">年度指标值为小于</w:t>
      </w:r>
      <w:r>
        <w:rPr>
          <w:rFonts w:ascii="仿宋_GB2312" w:hAnsi="仿宋_GB2312" w:cs="仿宋_GB2312" w:hint="eastAsia"/>
          <w:color w:val="auto"/>
          <w:highlight w:val="none"/>
        </w:rPr>
        <w:t xml:space="preserve">等于1671.5185元/人</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1629.4372元/人</w:t>
      </w:r>
      <w:r>
        <w:rPr>
          <w:rFonts w:ascii="仿宋_GB2312" w:hAnsi="仿宋_GB2312" w:cs="仿宋_GB2312" w:hint="eastAsia"/>
          <w:color w:val="auto"/>
          <w:highlight w:val="none"/>
        </w:rPr>
        <w:t xml:space="preserve">，未完成预期目标，根据评分标准，该指标扣0.23分。</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未完成原因：当年度支付任务已完成，12月份困难学生生活补助资金支付任务到次年对账完毕后才能支付，导致困难学生生活补助资金当年未全额支出，剩余资金结转下一年继续使用。</w:t>
      </w:r>
    </w:p>
    <w:p>
      <w:pPr>
        <w:pStyle w:val="闻政-正文段落文字"/>
        <w:spacing w:line="520" w:lineRule="exact"/>
        <w:ind w:firstLine="560"/>
        <w:rPr>
          <w:rFonts w:ascii="仿宋_GB2312" w:hAnsi="仿宋_GB2312" w:cs="仿宋_GB2312"/>
          <w:color w:val="auto"/>
          <w:highlight w:val="none"/>
        </w:rPr>
      </w:pPr>
      <w:r>
        <w:rPr>
          <w:rFonts w:ascii="仿宋_GB2312" w:hAnsi="仿宋_GB2312" w:cs="仿宋_GB2312" w:hint="eastAsia"/>
          <w:color w:val="auto"/>
          <w:highlight w:val="none"/>
        </w:rPr>
        <w:t xml:space="preserve">采取的措施：做好后续资金审批资料准备工作，按时支付剩余项目资金。</w:t>
      </w:r>
    </w:p>
    <w:p>
      <w:pPr>
        <w:pStyle w:val="闻政-正文段落文字"/>
        <w:ind w:firstLine="560"/>
        <w:rPr>
          <w:color w:val="auto"/>
          <w:highlight w:val="none"/>
        </w:rPr>
      </w:pPr>
      <w:r>
        <w:rPr>
          <w:rFonts w:ascii="仿宋_GB2312" w:hAnsi="仿宋_GB2312" w:cs="仿宋_GB2312" w:hint="eastAsia"/>
          <w:color w:val="auto"/>
          <w:highlight w:val="none"/>
        </w:rPr>
        <w:t xml:space="preserve">产出成本</w:t>
      </w:r>
      <w:r>
        <w:rPr>
          <w:rFonts w:ascii="仿宋_GB2312" w:hAnsi="仿宋_GB2312" w:cs="仿宋_GB2312" w:hint="eastAsia"/>
          <w:color w:val="auto"/>
          <w:highlight w:val="none"/>
        </w:rPr>
        <w:t xml:space="preserve">三级指标共计1个</w:t>
      </w:r>
      <w:r>
        <w:rPr>
          <w:rFonts w:ascii="仿宋_GB2312" w:hAnsi="仿宋_GB2312" w:cs="仿宋_GB2312" w:hint="eastAsia"/>
          <w:color w:val="auto"/>
          <w:highlight w:val="none"/>
        </w:rPr>
        <w:t xml:space="preserve">，指标从成本节约情况进行评价，权重分值9分，</w:t>
      </w:r>
      <w:r>
        <w:rPr>
          <w:rFonts w:ascii="仿宋_GB2312" w:hAnsi="仿宋_GB2312" w:cs="仿宋_GB2312" w:hint="eastAsia"/>
          <w:color w:val="auto"/>
          <w:highlight w:val="none"/>
        </w:rPr>
        <w:t xml:space="preserve">实际得分8.77分</w:t>
      </w:r>
      <w:r>
        <w:rPr>
          <w:rFonts w:ascii="仿宋_GB2312" w:hAnsi="仿宋_GB2312" w:cs="仿宋_GB2312" w:hint="eastAsia"/>
          <w:color w:val="auto"/>
          <w:highlight w:val="none"/>
        </w:rPr>
        <w:t xml:space="preserve">。</w:t>
      </w:r>
    </w:p>
    <w:p>
      <w:pPr>
        <w:pStyle w:val="闻政-正文二级标题"/>
        <w:keepNext w:val="0"/>
        <w:keepLines w:val="0"/>
        <w:spacing w:line="520" w:lineRule="exact"/>
        <w:ind w:left="560"/>
        <w:jc w:val="both"/>
        <w:rPr>
          <w:rFonts w:ascii="仿宋_GB2312" w:hAnsi="仿宋_GB2312" w:cs="仿宋_GB2312" w:hint="eastAsia"/>
          <w:color w:val="auto"/>
          <w:highlight w:val="none"/>
        </w:rPr>
      </w:pPr>
      <w:r>
        <w:rPr>
          <w:rFonts w:ascii="仿宋_GB2312" w:hAnsi="仿宋_GB2312" w:cs="仿宋_GB2312" w:hint="eastAsia"/>
          <w:color w:val="auto"/>
          <w:highlight w:val="none"/>
        </w:rPr>
        <w:t xml:space="preserve">（四）项目效益情况</w:t>
      </w:r>
      <w:bookmarkEnd w:id="146"/>
      <w:bookmarkEnd w:id="147"/>
      <w:bookmarkEnd w:id="148"/>
      <w:bookmarkEnd w:id="149"/>
      <w:bookmarkEnd w:id="150"/>
      <w:bookmarkEnd w:id="151"/>
      <w:bookmarkEnd w:id="152"/>
      <w:bookmarkEnd w:id="153"/>
      <w:bookmarkEnd w:id="154"/>
      <w:bookmarkEnd w:id="15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效益类指标包括项目效益1个方面的内容，由</w:t>
      </w:r>
      <w:r>
        <w:rPr>
          <w:rFonts w:ascii="仿宋_GB2312" w:hAnsi="仿宋_GB2312" w:cs="仿宋_GB2312" w:hint="eastAsia"/>
          <w:color w:val="auto"/>
          <w:highlight w:val="none"/>
        </w:rPr>
        <w:t xml:space="preserve">1个三级指标</w:t>
      </w:r>
      <w:r>
        <w:rPr>
          <w:rFonts w:ascii="仿宋_GB2312" w:hAnsi="仿宋_GB2312" w:cs="仿宋_GB2312" w:hint="eastAsia"/>
          <w:color w:val="auto"/>
          <w:highlight w:val="none"/>
        </w:rPr>
        <w:t xml:space="preserve">构成，权重分为20分，</w:t>
      </w:r>
      <w:r>
        <w:rPr>
          <w:rFonts w:ascii="仿宋_GB2312" w:hAnsi="仿宋_GB2312" w:cs="仿宋_GB2312" w:hint="eastAsia"/>
          <w:color w:val="auto"/>
          <w:highlight w:val="none"/>
        </w:rPr>
        <w:t xml:space="preserve">实际得分20分，得分率为100%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1.项目效益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（1）实施效益指标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实施效益指标从项目实施所产生的效益方面进行评价，权重分值20分，</w:t>
      </w:r>
      <w:r>
        <w:rPr>
          <w:rFonts w:ascii="仿宋_GB2312" w:hAnsi="仿宋_GB2312" w:cs="仿宋_GB2312" w:hint="eastAsia"/>
          <w:color w:val="auto"/>
          <w:highlight w:val="none"/>
        </w:rPr>
        <w:t xml:space="preserve">实际得分20分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①项目实施的经济效益分析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本项目无此指标。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②项目实施的社会效益分析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减轻学生家庭经济负担</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有效减轻</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有效减轻</w:t>
      </w:r>
      <w:r>
        <w:rPr>
          <w:rFonts w:ascii="仿宋_GB2312" w:hAnsi="仿宋_GB2312" w:cs="仿宋_GB2312" w:hint="eastAsia"/>
          <w:color w:val="auto"/>
          <w:highlight w:val="none"/>
        </w:rPr>
        <w:t xml:space="preserve">，完成预期目标，根据评分标准，该指标不扣分，</w:t>
      </w:r>
      <w:r>
        <w:rPr>
          <w:rFonts w:ascii="仿宋_GB2312" w:hAnsi="仿宋_GB2312" w:cs="仿宋_GB2312" w:hint="eastAsia"/>
          <w:color w:val="auto"/>
          <w:highlight w:val="none"/>
        </w:rPr>
        <w:t xml:space="preserve">实际得20分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③项目实施的生态效益分析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本项目无此指标。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④项目实施的可持续影响分析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本项目无此指标。</w:t>
      </w:r>
    </w:p>
    <w:p>
      <w:pPr>
        <w:pStyle w:val="闻政-正文二级标题"/>
        <w:keepNext w:val="0"/>
        <w:keepLines w:val="0"/>
        <w:spacing w:line="520" w:lineRule="exact"/>
        <w:ind w:left="560"/>
        <w:jc w:val="both"/>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（五）满意度指标完成情况分析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项目满意度指标包括满意度指标1个方面的内容，由1个三级指标构成，权重分为10分，实际得分10分，得分率为100%。</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1.满意度指标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满意度指标完成情况分析从关注社会公众或服务对象对项目实施效果的满意程度方面进行评价，权重分值10分，实际得分10分。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①家长和学生满意度完成情况分析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评分规则设定为：满意度大于等于98%得10分；不足98%的大于等于80%得8分；不足80%的大于等于60%得5分；不足60%的不得分。该指标得分=满意度*该指标权重分值。</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综合来看，受访对象的满意度分析结果为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因此按满意度权重计分：100%*10分=10分，满意度指标</w:t>
      </w:r>
      <w:r>
        <w:rPr>
          <w:rFonts w:ascii="仿宋_GB2312" w:hAnsi="仿宋_GB2312" w:cs="仿宋_GB2312" w:hint="eastAsia"/>
          <w:color w:val="auto"/>
          <w:highlight w:val="none"/>
        </w:rPr>
        <w:t xml:space="preserve">实际得分10分</w:t>
      </w:r>
      <w:r>
        <w:rPr>
          <w:rFonts w:ascii="仿宋_GB2312" w:hAnsi="仿宋_GB2312" w:cs="仿宋_GB2312" w:hint="eastAsia"/>
          <w:color w:val="auto"/>
          <w:highlight w:val="none"/>
        </w:rPr>
        <w:t xml:space="preserve">。</w:t>
      </w:r>
    </w:p>
    <w:p>
      <w:pPr>
        <w:pStyle w:val="闻政-正文一级标题"/>
        <w:keepNext w:val="0"/>
        <w:keepLines w:val="0"/>
        <w:spacing w:line="520" w:lineRule="exact"/>
        <w:ind w:firstLine="640" w:firstLineChars="200"/>
        <w:jc w:val="both"/>
        <w:rPr>
          <w:rFonts w:hint="eastAsia"/>
          <w:color w:val="auto"/>
          <w:highlight w:val="none"/>
        </w:rPr>
      </w:pPr>
      <w:bookmarkStart w:id="156" w:name="_Toc10934"/>
      <w:bookmarkStart w:id="157" w:name="_Toc10463_WPSOffice_Level1"/>
      <w:bookmarkStart w:id="158" w:name="_Toc18449"/>
      <w:bookmarkStart w:id="159" w:name="_Toc127054598"/>
      <w:bookmarkStart w:id="160" w:name="_Toc15802"/>
      <w:bookmarkStart w:id="161" w:name="_Toc10930_WPSOffice_Level1"/>
      <w:bookmarkStart w:id="162" w:name="_Toc2006_WPSOffice_Level1"/>
      <w:bookmarkStart w:id="163" w:name="_Toc24579"/>
      <w:bookmarkStart w:id="164" w:name="_Toc24849"/>
      <w:bookmarkStart w:id="165" w:name="_Toc17211"/>
      <w:r>
        <w:rPr>
          <w:rFonts w:hint="eastAsia"/>
          <w:color w:val="auto"/>
          <w:highlight w:val="none"/>
        </w:rPr>
        <w:t xml:space="preserve">五、预算执行进度与绩效指标偏差</w:t>
      </w:r>
      <w:bookmarkEnd w:id="156"/>
      <w:bookmarkEnd w:id="157"/>
      <w:bookmarkEnd w:id="158"/>
      <w:bookmarkEnd w:id="159"/>
      <w:bookmarkEnd w:id="160"/>
    </w:p>
    <w:p>
      <w:pPr>
        <w:pStyle w:val="闻政-正文段落文字"/>
        <w:ind w:firstLine="560"/>
        <w:rPr>
          <w:rFonts w:ascii="仿宋_GB2312" w:hAnsi="仿宋_GB2312" w:cs="仿宋_GB2312" w:hint="eastAsia"/>
          <w:color w:val="auto"/>
          <w:highlight w:val="none"/>
        </w:rPr>
      </w:pPr>
      <w:bookmarkStart w:id="166" w:name="_Toc19104_WPSOffice_Level1"/>
      <w:bookmarkStart w:id="167" w:name="_Toc24452"/>
      <w:bookmarkStart w:id="168" w:name="_Toc127054599"/>
      <w:bookmarkStart w:id="169" w:name="_Toc28884"/>
      <w:bookmarkStart w:id="170" w:name="_Toc12278"/>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城乡义务教育补助经费项目（家庭经济困难学生生活补助）</w:t>
      </w:r>
      <w:r>
        <w:rPr>
          <w:rFonts w:ascii="仿宋_GB2312" w:hAnsi="仿宋_GB2312" w:cs="仿宋_GB2312" w:hint="eastAsia"/>
          <w:color w:val="auto"/>
          <w:highlight w:val="none"/>
        </w:rPr>
        <w:t xml:space="preserve">”预算执行率与绩效指标完成率存在偏差，项目预算执行率为</w:t>
      </w:r>
      <w:r>
        <w:rPr>
          <w:rFonts w:ascii="仿宋_GB2312" w:hAnsi="仿宋_GB2312" w:cs="仿宋_GB2312"/>
          <w:color w:val="auto"/>
          <w:highlight w:val="none"/>
        </w:rPr>
        <w:t xml:space="preserve">97.5</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，项目绩效指标总体完成率</w:t>
      </w:r>
      <w:r>
        <w:rPr>
          <w:rFonts w:ascii="仿宋_GB2312" w:hAnsi="仿宋_GB2312" w:cs="仿宋_GB2312"/>
          <w:color w:val="auto"/>
          <w:highlight w:val="none"/>
        </w:rPr>
        <w:t xml:space="preserve">87.1</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，偏差率为</w:t>
      </w:r>
      <w:r>
        <w:rPr>
          <w:rFonts w:ascii="仿宋_GB2312" w:hAnsi="仿宋_GB2312" w:cs="仿宋_GB2312" w:hint="eastAsia"/>
          <w:color w:val="auto"/>
          <w:highlight w:val="none"/>
        </w:rPr>
        <w:t xml:space="preserve">10.4%</w:t>
      </w:r>
      <w:r>
        <w:rPr>
          <w:rFonts w:ascii="仿宋_GB2312" w:hAnsi="仿宋_GB2312" w:cs="仿宋_GB2312" w:hint="eastAsia"/>
          <w:color w:val="auto"/>
          <w:highlight w:val="none"/>
        </w:rPr>
        <w:t xml:space="preserve">。</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满意度指标实际完成值优于预期值，指标实际完成较预期出现正偏差。</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偏差原因：首先，项目初期，对受益对象需求的理解存在偏差，导致预期值设置偏低。其次，项目在实际执行过程中有效地满足了项目预期目标，造成实际完成情况超出受益对象的期望。</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改进措施：对偏差进行深入分析，充分了解受益对象的需求变化，明确造成实际完成值高于预期的具体原因，以便在未来的项目中更好地把握和预测</w:t>
      </w:r>
      <w:r>
        <w:rPr>
          <w:rFonts w:ascii="仿宋_GB2312" w:hAnsi="仿宋_GB2312" w:cs="仿宋_GB2312" w:hint="eastAsia"/>
          <w:color w:val="auto"/>
          <w:highlight w:val="none"/>
        </w:rPr>
        <w:t xml:space="preserve">。</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时效指标下的“资金支付完成时间”和“项目完成及时率”指标以及成本指标下的“困难学生生活补助人均预算控制数”指标未达到预期，指标实际完成较预期出现负偏差。</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未完成原因：当年度支付任务已完成，12月份困难学生生活补助资金支付任务到次年对账完毕后才能支付，导致困难学生生活补助资金当年未全额支出，剩余资金结转下一年继续使用。</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采取的措施：做好后续资金审批资料准备工作，按时支付剩余项目资金。</w:t>
      </w:r>
    </w:p>
    <w:p>
      <w:pPr>
        <w:pStyle w:val="闻政-正文一级标题"/>
        <w:keepNext w:val="0"/>
        <w:keepLines w:val="0"/>
        <w:spacing w:line="520" w:lineRule="exact"/>
        <w:ind w:firstLine="640" w:firstLineChars="200"/>
        <w:jc w:val="both"/>
        <w:rPr>
          <w:rFonts w:hint="eastAsia"/>
          <w:color w:val="auto"/>
          <w:highlight w:val="none"/>
        </w:rPr>
      </w:pPr>
      <w:r>
        <w:rPr>
          <w:rFonts w:hint="eastAsia"/>
          <w:color w:val="auto"/>
          <w:highlight w:val="none"/>
        </w:rPr>
        <w:t xml:space="preserve">六、主要经验及做法、存在的问题及原因分析</w:t>
      </w:r>
      <w:bookmarkEnd w:id="161"/>
      <w:bookmarkEnd w:id="162"/>
      <w:bookmarkEnd w:id="163"/>
      <w:bookmarkEnd w:id="164"/>
      <w:bookmarkEnd w:id="165"/>
      <w:bookmarkEnd w:id="166"/>
      <w:bookmarkEnd w:id="167"/>
      <w:bookmarkEnd w:id="168"/>
      <w:bookmarkEnd w:id="169"/>
      <w:bookmarkEnd w:id="170"/>
      <w:r>
        <w:rPr>
          <w:rFonts w:hint="eastAsia"/>
          <w:color w:val="auto"/>
          <w:highlight w:val="none"/>
        </w:rPr>
        <w:t xml:space="preserve">、下一步改进措施</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71" w:name="_Toc127054600"/>
      <w:bookmarkStart w:id="172" w:name="_Toc14218"/>
      <w:bookmarkStart w:id="173" w:name="_Toc12587"/>
      <w:bookmarkStart w:id="174" w:name="_Toc6806_WPSOffice_Level2"/>
      <w:bookmarkStart w:id="175" w:name="_Toc5442_WPSOffice_Level2"/>
      <w:bookmarkStart w:id="176" w:name="_Toc23806_WPSOffice_Level2"/>
      <w:bookmarkStart w:id="177" w:name="_Toc19554"/>
      <w:bookmarkStart w:id="178" w:name="_Toc18033"/>
      <w:bookmarkStart w:id="179" w:name="_Toc16717"/>
      <w:bookmarkStart w:id="180" w:name="_Toc28921"/>
      <w:r>
        <w:rPr>
          <w:rFonts w:ascii="仿宋_GB2312" w:hAnsi="仿宋_GB2312" w:cs="仿宋_GB2312" w:hint="eastAsia"/>
          <w:color w:val="auto"/>
          <w:highlight w:val="none"/>
        </w:rPr>
        <w:t xml:space="preserve">（一）主要经验及做法</w:t>
      </w:r>
      <w:bookmarkEnd w:id="171"/>
      <w:bookmarkEnd w:id="172"/>
      <w:bookmarkEnd w:id="173"/>
      <w:bookmarkEnd w:id="174"/>
      <w:bookmarkEnd w:id="175"/>
      <w:bookmarkEnd w:id="176"/>
      <w:bookmarkEnd w:id="177"/>
      <w:bookmarkEnd w:id="178"/>
      <w:bookmarkEnd w:id="179"/>
      <w:bookmarkEnd w:id="180"/>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1.动态数据管理。建立学生信息动态管理机制，定期更新学生人数、身份等信息，使补贴发放与实际情况紧密契合，避免资金浪费或不足。</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2.严格资金监管。构建财政、审计、教育等多部门联合监督体系，对资金的拨付、使用进行全过程监控，制定完善的资金管理制度，明确资金使用范围、审批流程和监管责任，确保资金使用合法合规。</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建立严格食品安全监管体系。岳普湖县教育局构建了从食材采购、加工到配送的全链条监管机制。在采购环节，与正规供应商签订合同，查验食材的检验检疫证明。加工过程中，要求学校食堂严格遵守卫生标准，对每餐进行留样，保障食品安全。</w:t>
      </w:r>
    </w:p>
    <w:p>
      <w:pPr>
        <w:pStyle w:val="闻政-正文二级标题"/>
        <w:keepNext w:val="0"/>
        <w:keepLines w:val="0"/>
        <w:spacing w:line="520" w:lineRule="exact"/>
        <w:ind w:left="560"/>
        <w:jc w:val="both"/>
        <w:rPr>
          <w:rFonts w:ascii="仿宋_GB2312" w:hAnsi="仿宋_GB2312" w:cs="仿宋_GB2312" w:hint="eastAsia"/>
          <w:color w:val="auto"/>
          <w:sz w:val="18"/>
          <w:szCs w:val="18"/>
          <w:highlight w:val="none"/>
        </w:rPr>
      </w:pPr>
      <w:bookmarkStart w:id="181" w:name="_Toc27136_WPSOffice_Level2"/>
      <w:bookmarkStart w:id="182" w:name="_Toc14241"/>
      <w:bookmarkStart w:id="183" w:name="_Toc127054601"/>
      <w:bookmarkStart w:id="184" w:name="_Toc14455"/>
      <w:bookmarkStart w:id="185" w:name="_Toc22477"/>
      <w:bookmarkStart w:id="186" w:name="_Toc16479"/>
      <w:bookmarkStart w:id="187" w:name="_Toc2377_WPSOffice_Level2"/>
      <w:bookmarkStart w:id="188" w:name="_Toc29645_WPSOffice_Level2"/>
      <w:bookmarkStart w:id="189" w:name="_Toc22757"/>
      <w:bookmarkStart w:id="190" w:name="_Toc30239"/>
      <w:r>
        <w:rPr>
          <w:rFonts w:ascii="仿宋_GB2312" w:hAnsi="仿宋_GB2312" w:cs="仿宋_GB2312" w:hint="eastAsia"/>
          <w:color w:val="auto"/>
          <w:highlight w:val="none"/>
        </w:rPr>
        <w:t xml:space="preserve">（二）存在的问题及原因分析</w:t>
      </w:r>
      <w:bookmarkEnd w:id="181"/>
      <w:bookmarkEnd w:id="182"/>
      <w:bookmarkEnd w:id="183"/>
      <w:bookmarkEnd w:id="184"/>
      <w:bookmarkEnd w:id="185"/>
      <w:bookmarkEnd w:id="186"/>
      <w:bookmarkEnd w:id="187"/>
      <w:bookmarkEnd w:id="188"/>
      <w:bookmarkEnd w:id="189"/>
      <w:bookmarkEnd w:id="190"/>
    </w:p>
    <w:p>
      <w:pPr>
        <w:pStyle w:val="闻政-正文段落文字"/>
        <w:spacing w:line="520" w:lineRule="exact"/>
        <w:ind w:firstLine="560"/>
        <w:rPr>
          <w:rFonts w:ascii="仿宋_GB2312" w:hAnsi="仿宋_GB2312" w:cs="仿宋_GB2312" w:hint="eastAsia"/>
          <w:color w:val="auto"/>
          <w:highlight w:val="none"/>
        </w:rPr>
      </w:pPr>
      <w:bookmarkStart w:id="191" w:name="_Toc12413_WPSOffice_Level1"/>
      <w:bookmarkStart w:id="192" w:name="_Toc15650_WPSOffice_Level1"/>
      <w:bookmarkStart w:id="193" w:name="_Toc26233_WPSOffice_Level1"/>
      <w:bookmarkStart w:id="194" w:name="_Toc25046"/>
      <w:bookmarkStart w:id="195" w:name="_Toc13442"/>
      <w:bookmarkStart w:id="196" w:name="_Toc127054602"/>
      <w:bookmarkStart w:id="197" w:name="_Toc16264"/>
      <w:bookmarkStart w:id="198" w:name="_Toc20951"/>
      <w:bookmarkStart w:id="199" w:name="_Toc8075"/>
      <w:bookmarkStart w:id="200" w:name="_Toc31693"/>
      <w:r>
        <w:rPr>
          <w:rFonts w:ascii="仿宋_GB2312" w:hAnsi="仿宋_GB2312" w:cs="仿宋_GB2312" w:hint="eastAsia"/>
          <w:color w:val="auto"/>
          <w:highlight w:val="none"/>
        </w:rPr>
        <w:t xml:space="preserve">1.补贴标准与物价上涨不匹配。随着物价的不断上涨，现行的补助标准难以满足学生对营养的需求，可能影响供餐的质量。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2.补贴发放效率低。困难学生生活补助等补贴发放涉及学生信息审核、资金拨付等多个环节，流程繁琐，导致补贴发放延迟。</w:t>
      </w:r>
    </w:p>
    <w:p>
      <w:pPr>
        <w:pStyle w:val="闻政-正文二级标题"/>
        <w:keepNext w:val="0"/>
        <w:keepLines w:val="0"/>
        <w:spacing w:line="520" w:lineRule="exact"/>
        <w:ind w:left="560"/>
        <w:jc w:val="both"/>
        <w:rPr>
          <w:rFonts w:ascii="仿宋_GB2312" w:hAnsi="仿宋_GB2312" w:cs="仿宋_GB2312" w:hint="eastAsia"/>
          <w:color w:val="auto"/>
          <w:sz w:val="21"/>
          <w:szCs w:val="21"/>
          <w:highlight w:val="none"/>
        </w:rPr>
      </w:pPr>
      <w:r>
        <w:rPr>
          <w:rFonts w:ascii="仿宋_GB2312" w:hAnsi="仿宋_GB2312" w:cs="仿宋_GB2312" w:hint="eastAsia"/>
          <w:color w:val="auto"/>
          <w:highlight w:val="none"/>
        </w:rPr>
        <w:t xml:space="preserve">（三）下一步改进措施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1.动态调整补贴标准。建立与物价挂钩的补贴标准动态调整机制，根据物价变化及时调整营养改善补助标准，确保营养餐的质量。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2.简化补贴发放流程。利用信息化手段，优化学生信息审核流程，实现数据共享。加强与银行等金融机构的合作，实现补贴资金的批量发放，提高发放效率。</w:t>
      </w:r>
    </w:p>
    <w:p>
      <w:pPr>
        <w:pStyle w:val="闻政-正文一级标题"/>
        <w:keepNext w:val="0"/>
        <w:keepLines w:val="0"/>
        <w:spacing w:line="520" w:lineRule="exact"/>
        <w:ind w:firstLine="640" w:firstLineChars="200"/>
        <w:jc w:val="both"/>
        <w:rPr>
          <w:rFonts w:hint="eastAsia"/>
          <w:color w:val="auto"/>
          <w:sz w:val="21"/>
          <w:szCs w:val="21"/>
          <w:highlight w:val="none"/>
        </w:rPr>
      </w:pPr>
      <w:r>
        <w:rPr>
          <w:rFonts w:hint="eastAsia"/>
          <w:color w:val="auto"/>
          <w:highlight w:val="none"/>
        </w:rPr>
        <w:t xml:space="preserve">七、有关建议</w:t>
      </w:r>
      <w:bookmarkEnd w:id="191"/>
      <w:bookmarkEnd w:id="192"/>
      <w:bookmarkEnd w:id="193"/>
      <w:bookmarkEnd w:id="194"/>
      <w:bookmarkEnd w:id="195"/>
      <w:bookmarkEnd w:id="196"/>
      <w:bookmarkEnd w:id="197"/>
      <w:bookmarkEnd w:id="198"/>
      <w:bookmarkEnd w:id="199"/>
      <w:bookmarkEnd w:id="200"/>
    </w:p>
    <w:p>
      <w:pPr>
        <w:pStyle w:val="闻政-正文段落文字"/>
        <w:spacing w:line="520" w:lineRule="exact"/>
        <w:ind w:firstLine="560"/>
        <w:rPr>
          <w:rFonts w:ascii="仿宋_GB2312" w:hAnsi="仿宋_GB2312" w:cs="仿宋_GB2312" w:hint="eastAsia"/>
          <w:color w:val="auto"/>
          <w:highlight w:val="none"/>
        </w:rPr>
      </w:pPr>
      <w:bookmarkStart w:id="201" w:name="_Toc28208_WPSOffice_Level1"/>
      <w:bookmarkStart w:id="202" w:name="_Toc29208"/>
      <w:bookmarkStart w:id="203" w:name="_Toc20924_WPSOffice_Level1"/>
      <w:bookmarkStart w:id="204" w:name="_Toc5941_WPSOffice_Level1"/>
      <w:bookmarkStart w:id="205" w:name="_Toc6873"/>
      <w:bookmarkStart w:id="206" w:name="_Toc127054603"/>
      <w:bookmarkStart w:id="207" w:name="_Toc17796"/>
      <w:bookmarkStart w:id="208" w:name="_Toc7041"/>
      <w:bookmarkStart w:id="209" w:name="_Toc23889"/>
      <w:bookmarkStart w:id="210" w:name="_Toc30131"/>
      <w:r>
        <w:rPr>
          <w:rFonts w:ascii="仿宋_GB2312" w:hAnsi="仿宋_GB2312" w:cs="仿宋_GB2312" w:hint="eastAsia"/>
          <w:color w:val="auto"/>
          <w:highlight w:val="none"/>
        </w:rPr>
        <w:t xml:space="preserve">1.建立长效保障机制。建议政府加大对义务教育的投入，建立稳定的义务教育保障资金增长机制，确保义务教育保障工作持续推进。同时，鼓励社会力量参与义务教育保障工作，拓宽资金来源渠道。</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2.加强信息化建设。搭建教育保障信息管理平台，整合学生信息、资金管理、项目实施等功能，实现信息实时共享和动态管理，提高工作效率和管理水平。</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3.强化人员培训。定期组织相关人员参加业务培训，提高工作人员的政策水平和业务能力，为教育保障工作提供人才支持。</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4.建立学生参与机制。让学生参与餐食的设计和管理，提高学生的参与度和满意度。</w:t>
      </w:r>
    </w:p>
    <w:p>
      <w:pPr>
        <w:pStyle w:val="闻政-正文一级标题"/>
        <w:keepNext w:val="0"/>
        <w:keepLines w:val="0"/>
        <w:spacing w:line="520" w:lineRule="exact"/>
        <w:ind w:firstLine="640" w:firstLineChars="200"/>
        <w:jc w:val="both"/>
        <w:rPr>
          <w:rFonts w:hint="eastAsia"/>
          <w:color w:val="auto"/>
          <w:highlight w:val="none"/>
        </w:rPr>
      </w:pPr>
      <w:r>
        <w:rPr>
          <w:rFonts w:hint="eastAsia"/>
          <w:color w:val="auto"/>
          <w:highlight w:val="none"/>
        </w:rPr>
        <w:t xml:space="preserve">八、其他需要说明的问题</w:t>
      </w:r>
      <w:bookmarkEnd w:id="201"/>
      <w:bookmarkEnd w:id="202"/>
      <w:bookmarkEnd w:id="203"/>
      <w:bookmarkEnd w:id="204"/>
      <w:bookmarkEnd w:id="205"/>
      <w:bookmarkEnd w:id="206"/>
      <w:bookmarkEnd w:id="207"/>
      <w:bookmarkEnd w:id="208"/>
      <w:bookmarkEnd w:id="209"/>
      <w:bookmarkEnd w:id="210"/>
    </w:p>
    <w:p>
      <w:pPr>
        <w:pStyle w:val="闻政-正文段落文字"/>
        <w:spacing w:line="520" w:lineRule="exact"/>
        <w:ind w:firstLine="560"/>
        <w:rPr>
          <w:color w:val="auto"/>
          <w:highlight w:val="none"/>
        </w:rPr>
      </w:pPr>
      <w:r>
        <w:rPr>
          <w:rFonts w:hint="eastAsia"/>
          <w:color w:val="auto"/>
          <w:highlight w:val="none"/>
        </w:rPr>
        <w:t xml:space="preserve">我单位对上述项目支出绩效评价报告内反映内容的真实性、完整性负责，接受上级部门及社会公众监督。</w:t>
      </w:r>
    </w:p>
    <w:p>
      <w:pPr>
        <w:pStyle w:val="闻政-正文段落文字"/>
        <w:ind w:firstLine="560"/>
        <w:rPr>
          <w:color w:val="auto"/>
          <w:highlight w:val="none"/>
        </w:rPr>
        <w:sectPr>
          <w:footerReference w:type="default" r:id="rId10"/>
          <w:pgSz w:w="11906" w:h="16838" w:orient="portrait"/>
          <w:pgMar w:top="1440" w:right="1800" w:bottom="1440" w:left="1800" w:header="851" w:footer="992" w:gutter="0"/>
          <w:pgBorders/>
          <w:pgNumType w:fmt="numberInDash" w:start="1"/>
          <w:cols w:num="1" w:space="720">
            <w:col w:w="8306" w:space="720"/>
          </w:cols>
          <w:docGrid w:type="lines" w:linePitch="312" w:charSpace="0"/>
        </w:sectPr>
      </w:pPr>
      <w:bookmarkStart w:id="211" w:name="_Toc30582_WPSOffice_Level1"/>
      <w:bookmarkStart w:id="212" w:name="_Toc25689_WPSOffice_Level1"/>
      <w:bookmarkStart w:id="213" w:name="_Toc13636_WPSOffice_Level1"/>
      <w:r>
        <w:rPr>
          <w:rFonts w:hint="eastAsia"/>
          <w:color w:val="auto"/>
          <w:highlight w:val="none"/>
        </w:rPr>
        <w:t xml:space="preserve">附件1：综合评分表</w:t>
      </w:r>
      <w:bookmarkEnd w:id="211"/>
      <w:bookmarkEnd w:id="212"/>
      <w:bookmarkEnd w:id="213"/>
    </w:p>
    <w:p>
      <w:pPr>
        <w:ind w:left="0" w:firstLine="0" w:leftChars="0" w:firstLineChars="0"/>
      </w:pPr>
    </w:p>
    <w:sectPr>
      <w:pgSz w:w="11906" w:h="16838" w:orient="portrait"/>
      <w:pgMar w:top="1440" w:right="1800" w:bottom="1440" w:left="1800" w:header="851" w:footer="992" w:gutter="0"/>
      <w:pgBorders/>
      <w:pgNumType w:fmt="numberInDash"/>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360"/>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480"/>
      <w:jc w:val="center"/>
      <w:rPr>
        <w:rFonts w:ascii="宋体" w:eastAsia="宋体" w:hAnsi="宋体" w:asciiTheme="minorEastAsia" w:eastAsiaTheme="minorEastAsia" w:hAnsiTheme="minorEastAsia" w:cs="Arial" w:cstheme="minorEastAsia" w:hint="eastAsia"/>
        <w:sz w:val="24"/>
        <w:szCs w:val="24"/>
      </w:rPr>
    </w:pPr>
  </w:p>
  <w:p>
    <w:pPr>
      <w:pStyle w:val="Footer"/>
      <w:ind w:firstLine="360"/>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360"/>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480"/>
      <w:jc w:val="center"/>
      <w:rPr>
        <w:rFonts w:ascii="宋体" w:eastAsia="宋体" w:hAnsi="宋体" w:asciiTheme="minorEastAsia" w:eastAsiaTheme="minorEastAsia" w:hAnsiTheme="minorEastAsia" w:cs="Arial" w:cstheme="minorEastAsia" w:hint="eastAsia"/>
        <w:sz w:val="24"/>
        <w:szCs w:val="24"/>
      </w:rPr>
    </w:pPr>
    <w:r>
      <w:rPr>
        <w:sz w:val="24"/>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ind w:firstLine="480"/>
                            <w:rPr>
                              <w:rFonts w:ascii="宋体" w:eastAsia="宋体" w:hAnsi="宋体" w:asciiTheme="minorEastAsia" w:eastAsiaTheme="minorEastAsia" w:hAnsiTheme="minorEastAsia" w:cs="Arial" w:cstheme="minorEastAsia" w:hint="eastAsia"/>
                              <w:sz w:val="24"/>
                              <w:szCs w:val="24"/>
                            </w:rPr>
                          </w:pPr>
                          <w:r>
                            <w:rPr>
                              <w:rFonts w:ascii="宋体" w:eastAsia="宋体" w:hAnsi="宋体" w:asciiTheme="minorEastAsia" w:eastAsiaTheme="minorEastAsia" w:hAnsiTheme="minorEastAsia" w:cs="Arial" w:cstheme="minorEastAsia" w:hint="eastAsia"/>
                              <w:sz w:val="24"/>
                              <w:szCs w:val="24"/>
                            </w:rPr>
                            <w:fldChar w:fldCharType="begin"/>
                          </w:r>
                          <w:r>
                            <w:rPr>
                              <w:rFonts w:ascii="宋体" w:eastAsia="宋体" w:hAnsi="宋体" w:asciiTheme="minorEastAsia" w:eastAsiaTheme="minorEastAsia" w:hAnsiTheme="minorEastAsia" w:cs="Arial" w:cstheme="minorEastAsia" w:hint="eastAsia"/>
                              <w:sz w:val="24"/>
                              <w:szCs w:val="24"/>
                            </w:rPr>
                            <w:instrText xml:space="preserve"> PAGE  \* MERGEFORMAT </w:instrText>
                          </w:r>
                          <w:r>
                            <w:rPr>
                              <w:rFonts w:ascii="宋体" w:eastAsia="宋体" w:hAnsi="宋体" w:asciiTheme="minorEastAsia" w:eastAsiaTheme="minorEastAsia" w:hAnsiTheme="minorEastAsia" w:cs="Arial" w:cstheme="minorEastAsia" w:hint="eastAsia"/>
                              <w:sz w:val="24"/>
                              <w:szCs w:val="24"/>
                            </w:rPr>
                            <w:fldChar w:fldCharType="separate"/>
                          </w:r>
                          <w:r>
                            <w:rPr>
                              <w:rFonts w:ascii="宋体" w:eastAsia="宋体" w:hAnsi="宋体" w:asciiTheme="minorEastAsia" w:eastAsiaTheme="minorEastAsia" w:hAnsiTheme="minorEastAsia" w:cs="Arial" w:cstheme="minorEastAsia" w:hint="eastAsia"/>
                              <w:sz w:val="24"/>
                              <w:szCs w:val="24"/>
                            </w:rPr>
                            <w:t xml:space="preserve">- 1 -</w:t>
                          </w:r>
                          <w:r>
                            <w:rPr>
                              <w:rFonts w:ascii="宋体" w:eastAsia="宋体" w:hAnsi="宋体" w:asciiTheme="minorEastAsia" w:eastAsiaTheme="minorEastAsia" w:hAnsiTheme="minorEastAsia" w:cs="Arial" w:cstheme="minorEastAsia"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ind w:firstLine="480"/>
                      <w:rPr>
                        <w:rFonts w:ascii="宋体" w:eastAsia="宋体" w:hAnsi="宋体" w:asciiTheme="minorEastAsia" w:eastAsiaTheme="minorEastAsia" w:hAnsiTheme="minorEastAsia" w:cs="Arial" w:cstheme="minorEastAsia" w:hint="eastAsia"/>
                        <w:sz w:val="24"/>
                        <w:szCs w:val="24"/>
                      </w:rPr>
                    </w:pPr>
                    <w:r>
                      <w:rPr>
                        <w:rFonts w:ascii="宋体" w:eastAsia="宋体" w:hAnsi="宋体" w:asciiTheme="minorEastAsia" w:eastAsiaTheme="minorEastAsia" w:hAnsiTheme="minorEastAsia" w:cs="Arial" w:cstheme="minorEastAsia" w:hint="eastAsia"/>
                        <w:sz w:val="24"/>
                        <w:szCs w:val="24"/>
                      </w:rPr>
                      <w:fldChar w:fldCharType="begin"/>
                    </w:r>
                    <w:r>
                      <w:rPr>
                        <w:rFonts w:ascii="宋体" w:eastAsia="宋体" w:hAnsi="宋体" w:asciiTheme="minorEastAsia" w:eastAsiaTheme="minorEastAsia" w:hAnsiTheme="minorEastAsia" w:cs="Arial" w:cstheme="minorEastAsia" w:hint="eastAsia"/>
                        <w:sz w:val="24"/>
                        <w:szCs w:val="24"/>
                      </w:rPr>
                      <w:instrText xml:space="preserve"> PAGE  \* MERGEFORMAT </w:instrText>
                    </w:r>
                    <w:r>
                      <w:rPr>
                        <w:rFonts w:ascii="宋体" w:eastAsia="宋体" w:hAnsi="宋体" w:asciiTheme="minorEastAsia" w:eastAsiaTheme="minorEastAsia" w:hAnsiTheme="minorEastAsia" w:cs="Arial" w:cstheme="minorEastAsia" w:hint="eastAsia"/>
                        <w:sz w:val="24"/>
                        <w:szCs w:val="24"/>
                      </w:rPr>
                      <w:fldChar w:fldCharType="separate"/>
                    </w:r>
                    <w:r>
                      <w:rPr>
                        <w:rFonts w:ascii="宋体" w:eastAsia="宋体" w:hAnsi="宋体" w:asciiTheme="minorEastAsia" w:eastAsiaTheme="minorEastAsia" w:hAnsiTheme="minorEastAsia" w:cs="Arial" w:cstheme="minorEastAsia" w:hint="eastAsia"/>
                        <w:sz w:val="24"/>
                        <w:szCs w:val="24"/>
                      </w:rPr>
                      <w:t xml:space="preserve">- 1 -</w:t>
                    </w:r>
                    <w:r>
                      <w:rPr>
                        <w:rFonts w:ascii="宋体" w:eastAsia="宋体" w:hAnsi="宋体" w:asciiTheme="minorEastAsia" w:eastAsiaTheme="minorEastAsia" w:hAnsiTheme="minorEastAsia" w:cs="Arial" w:cstheme="minorEastAsia" w:hint="eastAsia"/>
                        <w:sz w:val="24"/>
                        <w:szCs w:val="24"/>
                      </w:rPr>
                      <w:fldChar w:fldCharType="end"/>
                    </w:r>
                  </w:p>
                </w:txbxContent>
              </v:textbox>
              <w10:wrap anchorx="margin"/>
            </v:shape>
          </w:pict>
        </mc:Fallback>
      </mc:AlternateContent>
    </w:r>
  </w:p>
  <w:p>
    <w:pPr>
      <w:pStyle w:val="Footer"/>
      <w:ind w:firstLine="360"/>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ind w:firstLine="360"/>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Bdr>
        <w:bottom w:val="none" w:sz="0" w:space="1" w:color="auto"/>
      </w:pBdr>
      <w:ind w:firstLine="360"/>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HorizontalSpacing w:val="140"/>
  <w:drawingGridVerticalSpacing w:val="38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lsdException w:name="footnote text"/>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lsdException w:name="Body Text"/>
    <w:lsdException w:name="Body Text Indent" w:semiHidden="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semiHidden="0" w:uiPriority="0" w:qFormat="1"/>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spacing w:after="160" w:line="278" w:lineRule="auto"/>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BodyTextFirstIndent2"/>
    <w:link w:val="标题1字符"/>
    <w:uiPriority w:val="9"/>
    <w:qFormat/>
    <w:pPr>
      <w:keepNext/>
      <w:keepLines/>
      <w:spacing w:before="340" w:after="330" w:line="578" w:lineRule="auto"/>
      <w:jc w:val="left"/>
      <w:outlineLvl w:val="0"/>
    </w:pPr>
    <w:rPr>
      <w:rFonts w:ascii="Times New Roman" w:hAnsi="Times New Roman" w:cs="Times New Roman"/>
      <w:b/>
      <w:bCs/>
      <w:kern w:val="44"/>
      <w:sz w:val="32"/>
      <w:szCs w:val="44"/>
    </w:rPr>
  </w:style>
  <w:style w:type="paragraph" w:styleId="Heading2">
    <w:name w:val="Heading 2"/>
    <w:basedOn w:val="Normal"/>
    <w:next w:val="NoSpacing"/>
    <w:link w:val="标题2字符"/>
    <w:qFormat/>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Heading3">
    <w:name w:val="Heading 3"/>
    <w:basedOn w:val="Normal"/>
    <w:next w:val="Normal"/>
    <w:link w:val="标题3字符"/>
    <w:uiPriority w:val="9"/>
    <w:qFormat/>
    <w:pPr>
      <w:keepNext/>
      <w:keepLines/>
      <w:spacing w:before="260" w:after="260" w:line="416" w:lineRule="auto"/>
      <w:jc w:val="left"/>
      <w:outlineLvl w:val="2"/>
    </w:pPr>
    <w:rPr>
      <w:bCs/>
      <w:szCs w:val="32"/>
    </w:rPr>
  </w:style>
  <w:style w:type="paragraph" w:styleId="Heading4">
    <w:name w:val="Heading 4"/>
    <w:basedOn w:val="Normal"/>
    <w:next w:val="Normal"/>
    <w:link w:val="标题4字符"/>
    <w:uiPriority w:val="9"/>
    <w:qFormat/>
    <w:pPr>
      <w:keepNext/>
      <w:keepLines/>
      <w:spacing w:before="280" w:after="290" w:line="376" w:lineRule="auto"/>
      <w:outlineLvl w:val="3"/>
    </w:pPr>
    <w:rPr>
      <w:rFonts w:ascii="Cambria" w:eastAsia="宋体" w:hAnsi="Cambria" w:cs="Times New Roman"/>
      <w:b/>
      <w:bCs/>
      <w:szCs w:val="28"/>
    </w:rPr>
  </w:style>
  <w:style w:type="character" w:default="1" w:styleId="DefaultParagraphFont">
    <w:name w:val="Default Paragraph Font"/>
    <w:uiPriority w:val="1"/>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odyTextFirstIndent2">
    <w:name w:val="Body Text First Indent 2"/>
    <w:basedOn w:val="BodyTextIndent"/>
    <w:link w:val="正文文本首行缩进2字符"/>
    <w:unhideWhenUsed/>
    <w:qFormat/>
    <w:pPr>
      <w:ind w:firstLine="420"/>
    </w:pPr>
    <w:rPr/>
  </w:style>
  <w:style w:type="paragraph" w:styleId="BodyTextIndent">
    <w:name w:val="Body Text Indent"/>
    <w:basedOn w:val="Normal"/>
    <w:link w:val="正文文本缩进字符"/>
    <w:uiPriority w:val="99"/>
    <w:unhideWhenUsed/>
    <w:qFormat/>
    <w:pPr>
      <w:spacing w:after="120"/>
      <w:ind w:left="420" w:leftChars="200"/>
    </w:pPr>
    <w:rPr/>
  </w:style>
  <w:style w:type="paragraph" w:styleId="NoSpacing">
    <w:name w:val="No Spacing"/>
    <w:link w:val="无间隔字符"/>
    <w:uiPriority w:val="1"/>
    <w:qFormat/>
    <w:pPr>
      <w:widowControl w:val="0"/>
      <w:spacing w:after="160" w:line="278" w:lineRule="auto"/>
      <w:ind w:firstLine="600" w:firstLineChars="200"/>
      <w:jc w:val="both"/>
    </w:pPr>
    <w:rPr>
      <w:rFonts w:ascii="Calibri" w:eastAsia="仿宋_GB2312" w:hAnsi="Calibri" w:cs="黑体"/>
      <w:kern w:val="2"/>
      <w:sz w:val="28"/>
      <w:szCs w:val="22"/>
      <w:lang w:val="en-US" w:eastAsia="zh-CN" w:bidi="ar-SA"/>
    </w:rPr>
  </w:style>
  <w:style w:type="paragraph" w:styleId="TOC7">
    <w:name w:val="TOC 7"/>
    <w:basedOn w:val="Normal"/>
    <w:next w:val="Normal"/>
    <w:uiPriority w:val="39"/>
    <w:unhideWhenUsed/>
    <w:qFormat/>
    <w:pPr>
      <w:ind w:left="1680"/>
      <w:jc w:val="left"/>
    </w:pPr>
    <w:rPr>
      <w:rFonts w:cs="Calibri"/>
      <w:sz w:val="18"/>
      <w:szCs w:val="18"/>
    </w:rPr>
  </w:style>
  <w:style w:type="paragraph" w:styleId="DocumentMap">
    <w:name w:val="Document Map"/>
    <w:basedOn w:val="Normal"/>
    <w:link w:val="文档结构图字符"/>
    <w:uiPriority w:val="99"/>
    <w:unhideWhenUsed/>
    <w:qFormat/>
    <w:rPr>
      <w:rFonts w:ascii="宋体" w:eastAsia="宋体"/>
      <w:sz w:val="18"/>
      <w:szCs w:val="18"/>
    </w:rPr>
  </w:style>
  <w:style w:type="paragraph" w:styleId="CommentText">
    <w:name w:val="Comment Text"/>
    <w:basedOn w:val="Normal"/>
    <w:link w:val="批注文字字符"/>
    <w:uiPriority w:val="99"/>
    <w:unhideWhenUsed/>
    <w:qFormat/>
    <w:rPr>
      <w:sz w:val="20"/>
      <w:szCs w:val="20"/>
    </w:rPr>
  </w:style>
  <w:style w:type="paragraph" w:styleId="TOC5">
    <w:name w:val="TOC 5"/>
    <w:basedOn w:val="Normal"/>
    <w:next w:val="Normal"/>
    <w:uiPriority w:val="39"/>
    <w:unhideWhenUsed/>
    <w:qFormat/>
    <w:pPr>
      <w:ind w:left="1120"/>
      <w:jc w:val="left"/>
    </w:pPr>
    <w:rPr>
      <w:rFonts w:cs="Calibri"/>
      <w:sz w:val="18"/>
      <w:szCs w:val="18"/>
    </w:rPr>
  </w:style>
  <w:style w:type="paragraph" w:styleId="TOC3">
    <w:name w:val="TOC 3"/>
    <w:basedOn w:val="Normal"/>
    <w:next w:val="Normal"/>
    <w:uiPriority w:val="39"/>
    <w:unhideWhenUsed/>
    <w:qFormat/>
    <w:pPr>
      <w:ind w:left="560"/>
      <w:jc w:val="left"/>
    </w:pPr>
    <w:rPr>
      <w:rFonts w:cs="Calibri"/>
      <w:i/>
      <w:iCs/>
      <w:sz w:val="20"/>
      <w:szCs w:val="20"/>
    </w:rPr>
  </w:style>
  <w:style w:type="paragraph" w:styleId="PlainText">
    <w:name w:val="Plain Text"/>
    <w:basedOn w:val="Normal"/>
    <w:qFormat/>
    <w:rPr>
      <w:rFonts w:ascii="宋体" w:hAnsi="Courier New" w:hint="eastAsia"/>
      <w:szCs w:val="20"/>
    </w:rPr>
  </w:style>
  <w:style w:type="paragraph" w:styleId="TOC8">
    <w:name w:val="TOC 8"/>
    <w:basedOn w:val="Normal"/>
    <w:next w:val="Normal"/>
    <w:uiPriority w:val="39"/>
    <w:unhideWhenUsed/>
    <w:qFormat/>
    <w:pPr>
      <w:ind w:left="1960"/>
      <w:jc w:val="left"/>
    </w:pPr>
    <w:rPr>
      <w:rFonts w:cs="Calibri"/>
      <w:sz w:val="18"/>
      <w:szCs w:val="18"/>
    </w:rPr>
  </w:style>
  <w:style w:type="paragraph" w:styleId="BalloonText">
    <w:name w:val="Balloon Text"/>
    <w:basedOn w:val="Normal"/>
    <w:link w:val="批注框文本字符"/>
    <w:uiPriority w:val="99"/>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spacing w:before="120" w:after="120"/>
      <w:jc w:val="left"/>
    </w:pPr>
    <w:rPr>
      <w:rFonts w:cs="Calibri"/>
      <w:b/>
      <w:bCs/>
      <w:caps/>
      <w:sz w:val="20"/>
      <w:szCs w:val="20"/>
    </w:rPr>
  </w:style>
  <w:style w:type="paragraph" w:styleId="TOC4">
    <w:name w:val="TOC 4"/>
    <w:basedOn w:val="Normal"/>
    <w:next w:val="Normal"/>
    <w:uiPriority w:val="39"/>
    <w:unhideWhenUsed/>
    <w:qFormat/>
    <w:pPr>
      <w:ind w:left="840"/>
      <w:jc w:val="left"/>
    </w:pPr>
    <w:rPr>
      <w:rFonts w:cs="Calibri"/>
      <w:sz w:val="18"/>
      <w:szCs w:val="18"/>
    </w:rPr>
  </w:style>
  <w:style w:type="paragraph" w:styleId="TOC6">
    <w:name w:val="TOC 6"/>
    <w:basedOn w:val="Normal"/>
    <w:next w:val="Normal"/>
    <w:uiPriority w:val="39"/>
    <w:unhideWhenUsed/>
    <w:qFormat/>
    <w:pPr>
      <w:ind w:left="1400"/>
      <w:jc w:val="left"/>
    </w:pPr>
    <w:rPr>
      <w:rFonts w:cs="Calibri"/>
      <w:sz w:val="18"/>
      <w:szCs w:val="18"/>
    </w:rPr>
  </w:style>
  <w:style w:type="paragraph" w:styleId="TOC2">
    <w:name w:val="TOC 2"/>
    <w:basedOn w:val="Normal"/>
    <w:next w:val="Normal"/>
    <w:uiPriority w:val="39"/>
    <w:unhideWhenUsed/>
    <w:qFormat/>
    <w:pPr>
      <w:ind w:left="280"/>
      <w:jc w:val="left"/>
    </w:pPr>
    <w:rPr>
      <w:rFonts w:cs="Calibri"/>
      <w:smallCaps/>
      <w:sz w:val="20"/>
      <w:szCs w:val="20"/>
    </w:rPr>
  </w:style>
  <w:style w:type="paragraph" w:styleId="TOC9">
    <w:name w:val="TOC 9"/>
    <w:basedOn w:val="Normal"/>
    <w:next w:val="Normal"/>
    <w:uiPriority w:val="39"/>
    <w:unhideWhenUsed/>
    <w:qFormat/>
    <w:pPr>
      <w:ind w:left="2240"/>
      <w:jc w:val="left"/>
    </w:pPr>
    <w:rPr>
      <w:rFonts w:cs="Calibri"/>
      <w:sz w:val="18"/>
      <w:szCs w:val="18"/>
    </w:rPr>
  </w:style>
  <w:style w:type="paragraph" w:styleId="Title">
    <w:name w:val="Title"/>
    <w:basedOn w:val="Normal"/>
    <w:uiPriority w:val="10"/>
    <w:qFormat/>
    <w:pPr>
      <w:spacing w:before="240" w:after="60"/>
      <w:jc w:val="center"/>
      <w:outlineLvl w:val="0"/>
    </w:pPr>
    <w:rPr>
      <w:rFonts w:ascii="Arial" w:hAnsi="Arial"/>
      <w:b/>
      <w:sz w:val="32"/>
    </w:rPr>
  </w:style>
  <w:style w:type="paragraph" w:styleId="CommentSubject">
    <w:name w:val="Comment Subject"/>
    <w:basedOn w:val="CommentText"/>
    <w:next w:val="CommentText"/>
    <w:link w:val="批注主题字符"/>
    <w:uiPriority w:val="99"/>
    <w:unhideWhenUsed/>
    <w:qFormat/>
    <w:rPr>
      <w:b/>
      <w:bCs/>
    </w:rPr>
  </w:style>
  <w:style w:type="table" w:styleId="TableGrid">
    <w:name w:val="Table Grid"/>
    <w:basedOn w:val="NormalTable"/>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Comment Reference"/>
    <w:uiPriority w:val="99"/>
    <w:unhideWhenUsed/>
    <w:qFormat/>
    <w:rPr>
      <w:sz w:val="16"/>
      <w:szCs w:val="16"/>
    </w:rPr>
  </w:style>
  <w:style w:type="paragraph" w:customStyle="1" w:styleId="闻政-正文一级标题">
    <w:name w:val="闻政-正文一级标题"/>
    <w:basedOn w:val="Heading3"/>
    <w:next w:val="闻政-正文段落文字"/>
    <w:link w:val="闻政-正文一级标题Char"/>
    <w:uiPriority w:val="3"/>
    <w:qFormat/>
    <w:pPr>
      <w:spacing w:before="120" w:after="60" w:line="500" w:lineRule="exact"/>
      <w:ind w:firstLine="0" w:firstLineChars="0"/>
      <w:outlineLvl w:val="0"/>
    </w:pPr>
    <w:rPr>
      <w:rFonts w:ascii="黑体" w:eastAsia="黑体" w:hAnsi="黑体" w:cs="Times New Roman"/>
      <w:kern w:val="0"/>
      <w:sz w:val="32"/>
    </w:rPr>
  </w:style>
  <w:style w:type="paragraph" w:customStyle="1" w:styleId="闻政-正文段落文字">
    <w:name w:val="闻政-正文段落文字"/>
    <w:basedOn w:val="Normal"/>
    <w:link w:val="闻政-正文段落文字Char"/>
    <w:uiPriority w:val="3"/>
    <w:qFormat/>
    <w:pPr>
      <w:spacing w:line="500" w:lineRule="exact"/>
      <w:ind w:firstLine="200"/>
    </w:pPr>
    <w:rPr>
      <w:rFonts w:ascii="Times New Roman" w:hAnsi="Times New Roman" w:cs="Times New Roman"/>
      <w:kern w:val="0"/>
      <w:szCs w:val="28"/>
    </w:rPr>
  </w:style>
  <w:style w:type="character" w:customStyle="1" w:styleId="闻政-正文一级标题Char">
    <w:name w:val="闻政-正文一级标题 Char"/>
    <w:link w:val="闻政-正文一级标题"/>
    <w:uiPriority w:val="3"/>
    <w:qFormat/>
    <w:rPr>
      <w:rFonts w:ascii="黑体" w:eastAsia="黑体" w:hAnsi="黑体" w:cs="Times New Roman"/>
      <w:bCs/>
      <w:sz w:val="32"/>
      <w:szCs w:val="32"/>
    </w:rPr>
  </w:style>
  <w:style w:type="paragraph" w:customStyle="1" w:styleId="_Style1">
    <w:name w:val="_Style 1"/>
    <w:qFormat/>
    <w:pPr>
      <w:widowControl w:val="0"/>
      <w:spacing w:after="160" w:line="278" w:lineRule="auto"/>
      <w:jc w:val="both"/>
    </w:pPr>
    <w:rPr>
      <w:rFonts w:ascii="Calibri" w:eastAsia="宋体" w:hAnsi="Calibri" w:cs="Times New Roman"/>
      <w:kern w:val="2"/>
      <w:sz w:val="21"/>
      <w:szCs w:val="22"/>
      <w:lang w:val="en-US" w:eastAsia="zh-CN" w:bidi="ar-SA"/>
    </w:rPr>
  </w:style>
  <w:style w:type="character" w:customStyle="1" w:styleId="无间隔字符">
    <w:name w:val="无间隔 字符"/>
    <w:link w:val="NoSpacing"/>
    <w:uiPriority w:val="1"/>
    <w:qFormat/>
    <w:rPr>
      <w:rFonts w:eastAsia="仿宋_GB2312" w:cs="黑体"/>
      <w:kern w:val="2"/>
      <w:sz w:val="28"/>
      <w:szCs w:val="22"/>
      <w:lang w:val="en-US" w:eastAsia="zh-CN" w:bidi="ar-SA"/>
    </w:rPr>
  </w:style>
  <w:style w:type="character" w:customStyle="1" w:styleId="明显参考1">
    <w:name w:val="明显参考1"/>
    <w:qFormat/>
    <w:rPr>
      <w:b/>
      <w:bCs/>
      <w:smallCaps/>
      <w:color w:val="C0504D"/>
      <w:spacing w:val="5"/>
      <w:u w:val="single"/>
    </w:rPr>
  </w:style>
  <w:style w:type="character" w:customStyle="1" w:styleId="批注主题字符">
    <w:name w:val="批注主题 字符"/>
    <w:link w:val="CommentSubject"/>
    <w:uiPriority w:val="99"/>
    <w:semiHidden/>
    <w:qFormat/>
    <w:rPr>
      <w:rFonts w:ascii="Calibri" w:eastAsia="仿宋_GB2312" w:hAnsi="Calibri" w:cs="黑体"/>
      <w:b/>
      <w:bCs/>
      <w:sz w:val="20"/>
      <w:szCs w:val="20"/>
    </w:rPr>
  </w:style>
  <w:style w:type="character" w:customStyle="1" w:styleId="正文文本首行缩进2字符">
    <w:name w:val="正文文本首行缩进 2 字符"/>
    <w:link w:val="BodyTextFirstIndent2"/>
    <w:qFormat/>
    <w:rPr>
      <w:rFonts w:ascii="Calibri" w:eastAsia="仿宋_GB2312" w:hAnsi="Calibri" w:cs="黑体"/>
      <w:sz w:val="28"/>
    </w:rPr>
  </w:style>
  <w:style w:type="character" w:customStyle="1" w:styleId="标题2字符">
    <w:name w:val="标题 2 字符"/>
    <w:link w:val="Heading2"/>
    <w:qFormat/>
    <w:rPr>
      <w:rFonts w:ascii="Cambria" w:eastAsia="仿宋_GB2312" w:hAnsi="Cambria" w:cs="Times New Roman"/>
      <w:b/>
      <w:bCs/>
      <w:kern w:val="0"/>
      <w:sz w:val="30"/>
      <w:szCs w:val="32"/>
    </w:rPr>
  </w:style>
  <w:style w:type="character" w:customStyle="1" w:styleId="批注框文本字符">
    <w:name w:val="批注框文本 字符"/>
    <w:link w:val="BalloonText"/>
    <w:uiPriority w:val="99"/>
    <w:semiHidden/>
    <w:qFormat/>
    <w:rPr>
      <w:rFonts w:ascii="Calibri" w:eastAsia="仿宋_GB2312" w:hAnsi="Calibri" w:cs="黑体"/>
      <w:sz w:val="18"/>
      <w:szCs w:val="18"/>
    </w:rPr>
  </w:style>
  <w:style w:type="character" w:customStyle="1" w:styleId="标题1字符">
    <w:name w:val="标题 1 字符"/>
    <w:link w:val="Heading1"/>
    <w:uiPriority w:val="9"/>
    <w:qFormat/>
    <w:rPr>
      <w:rFonts w:ascii="Times New Roman" w:eastAsia="仿宋_GB2312" w:hAnsi="Times New Roman" w:cs="Times New Roman"/>
      <w:b/>
      <w:bCs/>
      <w:kern w:val="44"/>
      <w:sz w:val="32"/>
      <w:szCs w:val="44"/>
    </w:rPr>
  </w:style>
  <w:style w:type="character" w:customStyle="1" w:styleId="页脚字符">
    <w:name w:val="页脚 字符"/>
    <w:link w:val="Footer"/>
    <w:uiPriority w:val="99"/>
    <w:qFormat/>
    <w:rPr>
      <w:rFonts w:ascii="Calibri" w:eastAsia="仿宋_GB2312" w:hAnsi="Calibri" w:cs="黑体"/>
      <w:sz w:val="18"/>
      <w:szCs w:val="18"/>
    </w:rPr>
  </w:style>
  <w:style w:type="character" w:customStyle="1" w:styleId="批注文字字符">
    <w:name w:val="批注文字 字符"/>
    <w:link w:val="CommentText"/>
    <w:uiPriority w:val="99"/>
    <w:semiHidden/>
    <w:qFormat/>
    <w:rPr>
      <w:rFonts w:ascii="Calibri" w:eastAsia="仿宋_GB2312" w:hAnsi="Calibri" w:cs="黑体"/>
      <w:sz w:val="20"/>
      <w:szCs w:val="20"/>
    </w:rPr>
  </w:style>
  <w:style w:type="character" w:customStyle="1" w:styleId="正文文本缩进字符">
    <w:name w:val="正文文本缩进 字符"/>
    <w:link w:val="BodyTextIndent"/>
    <w:uiPriority w:val="99"/>
    <w:semiHidden/>
    <w:qFormat/>
    <w:rPr>
      <w:rFonts w:ascii="Calibri" w:eastAsia="仿宋_GB2312" w:hAnsi="Calibri" w:cs="黑体"/>
      <w:sz w:val="28"/>
    </w:rPr>
  </w:style>
  <w:style w:type="character" w:customStyle="1" w:styleId="闻政-正文三级标题Char">
    <w:name w:val="闻政-正文三级标题 Char"/>
    <w:link w:val="闻政-正文三级标题"/>
    <w:uiPriority w:val="3"/>
    <w:qFormat/>
    <w:rPr>
      <w:rFonts w:ascii="Times New Roman" w:eastAsia="仿宋_GB2312" w:hAnsi="Times New Roman" w:cs="Times New Roman"/>
      <w:b/>
      <w:snapToGrid/>
      <w:sz w:val="28"/>
      <w:szCs w:val="28"/>
    </w:rPr>
  </w:style>
  <w:style w:type="paragraph" w:customStyle="1" w:styleId="闻政-正文三级标题">
    <w:name w:val="闻政-正文三级标题"/>
    <w:basedOn w:val="Normal"/>
    <w:next w:val="闻政-正文段落文字"/>
    <w:link w:val="闻政-正文三级标题Char"/>
    <w:uiPriority w:val="3"/>
    <w:qFormat/>
    <w:pPr>
      <w:widowControl/>
      <w:spacing w:before="120" w:after="60" w:line="500" w:lineRule="exact"/>
      <w:ind w:left="200" w:firstLine="0" w:leftChars="200" w:firstLineChars="0"/>
    </w:pPr>
    <w:rPr>
      <w:rFonts w:ascii="Times New Roman" w:hAnsi="Times New Roman" w:cs="Times New Roman"/>
      <w:b/>
      <w:snapToGrid w:val="0"/>
      <w:kern w:val="0"/>
      <w:szCs w:val="28"/>
    </w:rPr>
  </w:style>
  <w:style w:type="character" w:customStyle="1" w:styleId="闻政-正文四级标题Char">
    <w:name w:val="闻政-正文四级标题 Char"/>
    <w:link w:val="闻政-正文四级标题"/>
    <w:uiPriority w:val="3"/>
    <w:qFormat/>
    <w:rPr>
      <w:rFonts w:ascii="Times New Roman" w:eastAsia="仿宋_GB2312" w:hAnsi="Times New Roman" w:cs="Times New Roman"/>
      <w:snapToGrid/>
      <w:sz w:val="28"/>
      <w:szCs w:val="28"/>
    </w:rPr>
  </w:style>
  <w:style w:type="paragraph" w:customStyle="1" w:styleId="闻政-正文四级标题">
    <w:name w:val="闻政-正文四级标题"/>
    <w:basedOn w:val="闻政-正文三级标题"/>
    <w:next w:val="闻政-正文段落文字"/>
    <w:link w:val="闻政-正文四级标题Char"/>
    <w:uiPriority w:val="3"/>
    <w:qFormat/>
    <w:rPr>
      <w:b w:val="0"/>
    </w:rPr>
  </w:style>
  <w:style w:type="character" w:customStyle="1" w:styleId="标题3字符">
    <w:name w:val="标题 3 字符"/>
    <w:link w:val="Heading3"/>
    <w:uiPriority w:val="9"/>
    <w:qFormat/>
    <w:rPr>
      <w:rFonts w:ascii="Calibri" w:eastAsia="仿宋_GB2312" w:hAnsi="Calibri" w:cs="黑体"/>
      <w:bCs/>
      <w:sz w:val="28"/>
      <w:szCs w:val="32"/>
    </w:rPr>
  </w:style>
  <w:style w:type="character" w:customStyle="1" w:styleId="标题4字符">
    <w:name w:val="标题 4 字符"/>
    <w:link w:val="Heading4"/>
    <w:uiPriority w:val="9"/>
    <w:semiHidden/>
    <w:qFormat/>
    <w:rPr>
      <w:rFonts w:ascii="Cambria" w:eastAsia="宋体" w:hAnsi="Cambria" w:cs="Times New Roman"/>
      <w:b/>
      <w:bCs/>
      <w:sz w:val="28"/>
      <w:szCs w:val="28"/>
    </w:rPr>
  </w:style>
  <w:style w:type="character" w:customStyle="1" w:styleId="闻政-正文二级标题Char">
    <w:name w:val="闻政-正文二级标题 Char"/>
    <w:link w:val="闻政-正文二级标题"/>
    <w:uiPriority w:val="3"/>
    <w:qFormat/>
    <w:rPr>
      <w:rFonts w:ascii="Times New Roman" w:eastAsia="仿宋_GB2312" w:hAnsi="Times New Roman" w:cs="Times New Roman"/>
      <w:b/>
      <w:bCs/>
      <w:sz w:val="28"/>
      <w:szCs w:val="32"/>
    </w:rPr>
  </w:style>
  <w:style w:type="paragraph" w:customStyle="1" w:styleId="闻政-正文二级标题">
    <w:name w:val="闻政-正文二级标题"/>
    <w:basedOn w:val="Heading2"/>
    <w:next w:val="闻政-正文段落文字"/>
    <w:link w:val="闻政-正文二级标题Char"/>
    <w:uiPriority w:val="3"/>
    <w:qFormat/>
    <w:pPr>
      <w:spacing w:before="120" w:after="60" w:line="500" w:lineRule="exact"/>
      <w:ind w:left="200" w:firstLine="0" w:leftChars="200" w:firstLineChars="0"/>
    </w:pPr>
    <w:rPr>
      <w:rFonts w:ascii="Times New Roman" w:hAnsi="Times New Roman"/>
      <w:sz w:val="28"/>
    </w:rPr>
  </w:style>
  <w:style w:type="character" w:customStyle="1" w:styleId="闻政-正文段落文字Char">
    <w:name w:val="闻政-正文段落文字 Char"/>
    <w:link w:val="闻政-正文段落文字"/>
    <w:uiPriority w:val="3"/>
    <w:qFormat/>
    <w:rPr>
      <w:rFonts w:ascii="Times New Roman" w:eastAsia="仿宋_GB2312" w:hAnsi="Times New Roman" w:cs="Times New Roman"/>
      <w:sz w:val="28"/>
      <w:szCs w:val="28"/>
    </w:rPr>
  </w:style>
  <w:style w:type="character" w:customStyle="1" w:styleId="页眉字符">
    <w:name w:val="页眉 字符"/>
    <w:link w:val="Header"/>
    <w:uiPriority w:val="99"/>
    <w:qFormat/>
    <w:rPr>
      <w:rFonts w:ascii="Calibri" w:eastAsia="仿宋_GB2312" w:hAnsi="Calibri" w:cs="黑体"/>
      <w:sz w:val="18"/>
      <w:szCs w:val="18"/>
    </w:rPr>
  </w:style>
  <w:style w:type="character" w:customStyle="1" w:styleId="文档结构图字符">
    <w:name w:val="文档结构图 字符"/>
    <w:link w:val="DocumentMap"/>
    <w:uiPriority w:val="99"/>
    <w:semiHidden/>
    <w:qFormat/>
    <w:rPr>
      <w:rFonts w:ascii="宋体" w:eastAsia="宋体" w:hAnsi="Calibri" w:cs="黑体"/>
      <w:sz w:val="18"/>
      <w:szCs w:val="18"/>
    </w:rPr>
  </w:style>
  <w:style w:type="paragraph" w:styleId="ListParagraph">
    <w:name w:val="List Paragraph"/>
    <w:basedOn w:val="Normal"/>
    <w:uiPriority w:val="34"/>
    <w:qFormat/>
    <w:pPr>
      <w:ind w:firstLine="420"/>
    </w:pPr>
    <w:rPr/>
  </w:style>
  <w:style w:type="paragraph" w:customStyle="1" w:styleId="闻政表">
    <w:name w:val="闻政表"/>
    <w:basedOn w:val="Normal"/>
    <w:uiPriority w:val="99"/>
    <w:qFormat/>
    <w:pPr>
      <w:spacing w:before="60" w:after="60"/>
      <w:jc w:val="center"/>
    </w:pPr>
    <w:rPr>
      <w:rFonts w:ascii="Times New Roman" w:hAnsi="Times New Roman"/>
      <w:b/>
      <w:sz w:val="24"/>
      <w:szCs w:val="28"/>
    </w:rPr>
  </w:style>
  <w:style w:type="paragraph" w:customStyle="1" w:styleId="WPSOffice手动目录1">
    <w:name w:val="WPSOffice手动目录 1"/>
    <w:qFormat/>
    <w:pPr>
      <w:spacing w:after="160" w:line="278" w:lineRule="auto"/>
    </w:pPr>
    <w:rPr>
      <w:rFonts w:ascii="Times New Roman" w:eastAsia="宋体" w:hAnsi="Times New Roman" w:cs="Times New Roman"/>
      <w:lang w:val="en-US" w:eastAsia="zh-CN" w:bidi="ar-SA"/>
    </w:rPr>
  </w:style>
  <w:style w:type="paragraph" w:customStyle="1" w:styleId="WPSOffice手动目录2">
    <w:name w:val="WPSOffice手动目录 2"/>
    <w:qFormat/>
    <w:pPr>
      <w:spacing w:after="160" w:line="278" w:lineRule="auto"/>
      <w:ind w:left="200" w:leftChars="200"/>
    </w:pPr>
    <w:rPr>
      <w:rFonts w:ascii="Times New Roman" w:eastAsia="宋体" w:hAnsi="Times New Roman" w:cs="Times New Roman"/>
      <w:lang w:val="en-US" w:eastAsia="zh-CN" w:bidi="ar-SA"/>
    </w:rPr>
  </w:style>
  <w:style w:type="paragraph" w:customStyle="1" w:styleId="WPSOffice手动目录3">
    <w:name w:val="WPSOffice手动目录 3"/>
    <w:qFormat/>
    <w:pPr>
      <w:spacing w:after="160" w:line="278" w:lineRule="auto"/>
      <w:ind w:left="400" w:leftChars="400"/>
    </w:pPr>
    <w:rPr>
      <w:rFonts w:ascii="Times New Roman" w:eastAsia="宋体" w:hAnsi="Times New Roman" w:cs="Times New Roman"/>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10" Type="http://schemas.openxmlformats.org/officeDocument/2006/relationships/footer" Target="footer4.xml"/><Relationship Id="rId11" Type="http://schemas.openxmlformats.org/officeDocument/2006/relationships/theme" Target="theme/theme1.xml"/><Relationship Id="rId12" Type="http://schemas.openxmlformats.org/officeDocument/2006/relationships/styles" Target="styles.xml"/><Relationship Id="rId13" Type="http://schemas.openxmlformats.org/officeDocument/2006/relationships/webSettings" Target="webSettings.xml"/><Relationship Id="rId14" Type="http://schemas.openxmlformats.org/officeDocument/2006/relationships/fontTable" Target="fontTable.xml"/><Relationship Id="rId15" Type="http://schemas.openxmlformats.org/officeDocument/2006/relationships/settings" Target="settings.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eyJoZGlkIjoiNGNhNTJjYzlkY2VjZWQyZjhkMGQ4ODVhNzQ5ZTY0ZjQiLCJ1c2VySWQiOiIxNjg4Mzg1NTkxIn0=</vt:lpwstr>
  </property>
  <property fmtid="{D5CDD505-2E9C-101B-9397-08002B2CF9AE}" pid="4" name="ICV">
    <vt:lpwstr>C224B88187414F51BE8BBA146DE30B39_12</vt:lpwstr>
  </property>
</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6BA5C9-CD2E-4421-891E-71FCDB8FE82F}">
  <ds:schemaRefs/>
</ds:datastoreItem>
</file>

<file path=docProps/app.xml><?xml version="1.0" encoding="utf-8"?>
<Properties xmlns:vt="http://schemas.openxmlformats.org/officeDocument/2006/docPropsVTypes" xmlns="http://schemas.openxmlformats.org/officeDocument/2006/extended-properties">
  <Template>Normal.dotm</Template>
  <TotalTime>128</TotalTime>
  <Pages>29</Pages>
  <Words>17541</Words>
  <Characters>18402</Characters>
  <Application>WPS Office_12.1.0.20305_F1E327BC-269C-435d-A152-05C5408002CA</Application>
  <DocSecurity>0</DocSecurity>
  <Lines>664</Lines>
  <Paragraphs>484</Paragraphs>
  <Company>Microsoft</Company>
  <CharactersWithSpaces>18913</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项目支出绩效评价报告</dc:title>
  <dc:creator>User</dc:creator>
  <cp:lastModifiedBy>WPS_1742291039</cp:lastModifiedBy>
  <cp:revision>13</cp:revision>
  <cp:lastPrinted>2022-01-30T02:30:00Z</cp:lastPrinted>
  <dcterms:created xsi:type="dcterms:W3CDTF">2022-01-30T02:31:00Z</dcterms:created>
  <dcterms:modified xsi:type="dcterms:W3CDTF">2025-08-05T04:46:48Z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2052-12.1.0.20305</vt:lpwstr>
  </property>
  <property fmtid="{D5CDD505-2E9C-101B-9397-08002B2CF9AE}" pid="3" name="KSOTemplateDocerSaveRecord">
    <vt:lpwstr>eyJoZGlkIjoiNGNhNTJjYzlkY2VjZWQyZjhkMGQ4ODVhNzQ5ZTY0ZjQiLCJ1c2VySWQiOiIxNjg4Mzg1NTkxIn0_x003D_</vt:lpwstr>
  </property>
  <property fmtid="{D5CDD505-2E9C-101B-9397-08002B2CF9AE}" pid="4" name="ICV">
    <vt:lpwstr>C224B88187414F51BE8BBA146DE30B39_12</vt:lpwstr>
  </property>
</Properties>
</file>